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98" w:rsidRPr="0052570E" w:rsidRDefault="00FD2E98" w:rsidP="00FD2E98">
      <w:pPr>
        <w:spacing w:after="0" w:line="360" w:lineRule="auto"/>
        <w:jc w:val="both"/>
        <w:rPr>
          <w:rFonts w:ascii="Palatino Linotype" w:hAnsi="Palatino Linotype"/>
          <w:b/>
          <w:sz w:val="24"/>
          <w:szCs w:val="24"/>
        </w:rPr>
      </w:pPr>
    </w:p>
    <w:p w:rsidR="00FD2E98" w:rsidRPr="0077579A" w:rsidRDefault="00FD2E98" w:rsidP="00FD2E98">
      <w:pPr>
        <w:spacing w:after="0" w:line="360" w:lineRule="auto"/>
        <w:jc w:val="both"/>
        <w:rPr>
          <w:rFonts w:ascii="Palatino Linotype" w:hAnsi="Palatino Linotype"/>
          <w:b/>
          <w:sz w:val="23"/>
          <w:szCs w:val="23"/>
        </w:rPr>
      </w:pPr>
      <w:r w:rsidRPr="00D12EC2">
        <w:rPr>
          <w:rFonts w:ascii="Palatino Linotype" w:hAnsi="Palatino Linotype"/>
          <w:b/>
          <w:sz w:val="23"/>
          <w:szCs w:val="23"/>
        </w:rPr>
        <w:t xml:space="preserve">VOTO PARTICULAR </w:t>
      </w:r>
      <w:r>
        <w:rPr>
          <w:rFonts w:ascii="Palatino Linotype" w:hAnsi="Palatino Linotype"/>
          <w:b/>
          <w:sz w:val="23"/>
          <w:szCs w:val="23"/>
        </w:rPr>
        <w:t>QUE FORMULA</w:t>
      </w:r>
      <w:r w:rsidRPr="00D12EC2">
        <w:rPr>
          <w:rFonts w:ascii="Palatino Linotype" w:hAnsi="Palatino Linotype"/>
          <w:b/>
          <w:sz w:val="23"/>
          <w:szCs w:val="23"/>
        </w:rPr>
        <w:t xml:space="preserve"> </w:t>
      </w:r>
      <w:r>
        <w:rPr>
          <w:rFonts w:ascii="Palatino Linotype" w:hAnsi="Palatino Linotype"/>
          <w:b/>
          <w:sz w:val="23"/>
          <w:szCs w:val="23"/>
        </w:rPr>
        <w:t xml:space="preserve">EL </w:t>
      </w:r>
      <w:r w:rsidRPr="00D12EC2">
        <w:rPr>
          <w:rFonts w:ascii="Palatino Linotype" w:hAnsi="Palatino Linotype"/>
          <w:b/>
          <w:sz w:val="23"/>
          <w:szCs w:val="23"/>
        </w:rPr>
        <w:t>COM</w:t>
      </w:r>
      <w:r>
        <w:rPr>
          <w:rFonts w:ascii="Palatino Linotype" w:hAnsi="Palatino Linotype"/>
          <w:b/>
          <w:sz w:val="23"/>
          <w:szCs w:val="23"/>
        </w:rPr>
        <w:t>ISIONADO</w:t>
      </w:r>
      <w:r>
        <w:rPr>
          <w:rFonts w:ascii="Palatino Linotype" w:hAnsi="Palatino Linotype"/>
          <w:b/>
          <w:sz w:val="23"/>
          <w:szCs w:val="23"/>
        </w:rPr>
        <w:t xml:space="preserve"> JAVIER MARTÍNEZ CRUZ</w:t>
      </w:r>
      <w:r w:rsidRPr="00D12EC2">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 xml:space="preserve">VIGÉSIMA CUARTA </w:t>
      </w:r>
      <w:r w:rsidRPr="00D12EC2">
        <w:rPr>
          <w:rFonts w:ascii="Palatino Linotype" w:hAnsi="Palatino Linotype"/>
          <w:b/>
          <w:sz w:val="23"/>
          <w:szCs w:val="23"/>
        </w:rPr>
        <w:t xml:space="preserve">SESIÓN ORDINARIA DEL </w:t>
      </w:r>
      <w:r>
        <w:rPr>
          <w:rFonts w:ascii="Palatino Linotype" w:hAnsi="Palatino Linotype"/>
          <w:b/>
          <w:sz w:val="23"/>
          <w:szCs w:val="23"/>
        </w:rPr>
        <w:t xml:space="preserve">VEINTISÉIS DE JUNIO </w:t>
      </w:r>
      <w:r w:rsidRPr="00D12EC2">
        <w:rPr>
          <w:rFonts w:ascii="Palatino Linotype" w:hAnsi="Palatino Linotype"/>
          <w:b/>
          <w:sz w:val="23"/>
          <w:szCs w:val="23"/>
        </w:rPr>
        <w:t>DE DOS MIL DIECI</w:t>
      </w:r>
      <w:r>
        <w:rPr>
          <w:rFonts w:ascii="Palatino Linotype" w:hAnsi="Palatino Linotype"/>
          <w:b/>
          <w:sz w:val="23"/>
          <w:szCs w:val="23"/>
        </w:rPr>
        <w:t>NUEVE, EN EL RECURSO DE REVISIÓN</w:t>
      </w:r>
      <w:r w:rsidRPr="0077579A">
        <w:rPr>
          <w:rFonts w:ascii="Palatino Linotype" w:hAnsi="Palatino Linotype"/>
          <w:b/>
          <w:sz w:val="23"/>
          <w:szCs w:val="23"/>
        </w:rPr>
        <w:t xml:space="preserve"> </w:t>
      </w:r>
      <w:r w:rsidRPr="0077579A">
        <w:rPr>
          <w:rFonts w:ascii="Palatino Linotype" w:hAnsi="Palatino Linotype"/>
          <w:b/>
          <w:bCs/>
          <w:sz w:val="23"/>
          <w:szCs w:val="23"/>
        </w:rPr>
        <w:t>0</w:t>
      </w:r>
      <w:r>
        <w:rPr>
          <w:rFonts w:ascii="Palatino Linotype" w:hAnsi="Palatino Linotype"/>
          <w:b/>
          <w:bCs/>
          <w:sz w:val="23"/>
          <w:szCs w:val="23"/>
        </w:rPr>
        <w:t>2937/INFOEM/IP/RR/2019</w:t>
      </w:r>
      <w:r w:rsidRPr="0077579A">
        <w:rPr>
          <w:rFonts w:ascii="Palatino Linotype" w:hAnsi="Palatino Linotype"/>
          <w:b/>
          <w:bCs/>
          <w:sz w:val="23"/>
          <w:szCs w:val="23"/>
        </w:rPr>
        <w:t>.</w:t>
      </w:r>
    </w:p>
    <w:p w:rsidR="00FD2E98" w:rsidRPr="0077579A" w:rsidRDefault="00FD2E98" w:rsidP="00FD2E98">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El Pleno del Instituto de Transparencia, Acceso a la Información Pública y Protección de Datos Personales del Estado de México resolvió por unanimidad de votos, la resolución relativa al recurso de revisión </w:t>
      </w:r>
      <w:r w:rsidRPr="0077579A">
        <w:rPr>
          <w:rFonts w:ascii="Palatino Linotype" w:hAnsi="Palatino Linotype" w:cs="Arial"/>
          <w:b/>
          <w:bCs/>
          <w:sz w:val="23"/>
          <w:szCs w:val="23"/>
          <w:lang w:eastAsia="es-MX"/>
        </w:rPr>
        <w:t>0</w:t>
      </w:r>
      <w:r>
        <w:rPr>
          <w:rFonts w:ascii="Palatino Linotype" w:hAnsi="Palatino Linotype" w:cs="Arial"/>
          <w:b/>
          <w:bCs/>
          <w:sz w:val="23"/>
          <w:szCs w:val="23"/>
          <w:lang w:eastAsia="es-MX"/>
        </w:rPr>
        <w:t>2937/INFOEM/IP/RR/2019</w:t>
      </w:r>
      <w:r w:rsidRPr="0077579A">
        <w:rPr>
          <w:rFonts w:ascii="Palatino Linotype" w:hAnsi="Palatino Linotype" w:cs="Arial"/>
          <w:b/>
          <w:bCs/>
          <w:sz w:val="23"/>
          <w:szCs w:val="23"/>
          <w:lang w:eastAsia="es-MX"/>
        </w:rPr>
        <w:t xml:space="preserve">, </w:t>
      </w:r>
      <w:r w:rsidRPr="0077579A">
        <w:rPr>
          <w:rFonts w:ascii="Palatino Linotype" w:hAnsi="Palatino Linotype"/>
          <w:sz w:val="23"/>
          <w:szCs w:val="23"/>
        </w:rPr>
        <w:t xml:space="preserve">presentada por la Comisionada Eva Abaid Yapur, respecto de la cual el Comisionado Javier Martínez Cruz emite </w:t>
      </w:r>
      <w:r w:rsidRPr="0077579A">
        <w:rPr>
          <w:rFonts w:ascii="Palatino Linotype" w:hAnsi="Palatino Linotype"/>
          <w:b/>
          <w:sz w:val="23"/>
          <w:szCs w:val="23"/>
        </w:rPr>
        <w:t>VOTO PARTICULAR</w:t>
      </w:r>
      <w:r>
        <w:rPr>
          <w:rFonts w:ascii="Palatino Linotype" w:hAnsi="Palatino Linotype"/>
          <w:b/>
          <w:sz w:val="23"/>
          <w:szCs w:val="23"/>
        </w:rPr>
        <w:t xml:space="preserve"> </w:t>
      </w:r>
      <w:r w:rsidRPr="0077579A">
        <w:rPr>
          <w:rFonts w:ascii="Palatino Linotype" w:hAnsi="Palatino Linotype"/>
          <w:sz w:val="23"/>
          <w:szCs w:val="23"/>
        </w:rPr>
        <w:t>con fundamento en el artículo 14 fracción XI del Reglamento del Instituto de Transparencia, Acceso a la Información Pública y Protección de Personales Datos del Estado de México.</w:t>
      </w:r>
    </w:p>
    <w:p w:rsidR="00FD2E98" w:rsidRPr="00FD2E98" w:rsidRDefault="00FD2E98" w:rsidP="00FD2E98">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La materia en que radicó el recurso de revisión, consistió en que el particular pidió al Ayuntamiento de </w:t>
      </w:r>
      <w:r>
        <w:rPr>
          <w:rFonts w:ascii="Palatino Linotype" w:hAnsi="Palatino Linotype"/>
          <w:sz w:val="23"/>
          <w:szCs w:val="23"/>
        </w:rPr>
        <w:t xml:space="preserve">Texcoco, le proporcionara el </w:t>
      </w:r>
      <w:r w:rsidRPr="00FD2E98">
        <w:rPr>
          <w:rFonts w:ascii="Palatino Linotype" w:hAnsi="Palatino Linotype"/>
          <w:sz w:val="23"/>
          <w:szCs w:val="23"/>
        </w:rPr>
        <w:t>reglamento interno, manual de procedimientos y manual de organización de la Dirección de Movilidad y Transporte, o su equivalente de la administración pública municipal</w:t>
      </w:r>
      <w:r w:rsidRPr="00FD2E98">
        <w:rPr>
          <w:rFonts w:ascii="Palatino Linotype" w:eastAsia="Times New Roman" w:hAnsi="Palatino Linotype" w:cs="Tahoma"/>
          <w:bCs/>
          <w:sz w:val="23"/>
          <w:szCs w:val="23"/>
          <w:lang w:val="es-ES" w:eastAsia="es-ES"/>
        </w:rPr>
        <w:t xml:space="preserve">. </w:t>
      </w:r>
    </w:p>
    <w:p w:rsidR="00FD2E98" w:rsidRPr="0077579A" w:rsidRDefault="00FD2E98" w:rsidP="00FD2E98">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El Sujeto Obligado en respuesta proporcionó las direcciones web en donde el particular puede consultar la información. </w:t>
      </w:r>
    </w:p>
    <w:p w:rsidR="00FD2E98" w:rsidRPr="0077579A" w:rsidRDefault="0071064B" w:rsidP="00FD2E98">
      <w:pPr>
        <w:spacing w:before="240" w:after="240" w:line="360" w:lineRule="auto"/>
        <w:jc w:val="both"/>
        <w:rPr>
          <w:rFonts w:ascii="Palatino Linotype" w:hAnsi="Palatino Linotype"/>
          <w:sz w:val="23"/>
          <w:szCs w:val="23"/>
        </w:rPr>
      </w:pPr>
      <w:r>
        <w:rPr>
          <w:rFonts w:ascii="Palatino Linotype" w:hAnsi="Palatino Linotype"/>
          <w:sz w:val="23"/>
          <w:szCs w:val="23"/>
        </w:rPr>
        <w:lastRenderedPageBreak/>
        <w:t>Inconforme con la respuesta</w:t>
      </w:r>
      <w:r w:rsidR="00FD2E98" w:rsidRPr="0077579A">
        <w:rPr>
          <w:rFonts w:ascii="Palatino Linotype" w:hAnsi="Palatino Linotype"/>
          <w:sz w:val="23"/>
          <w:szCs w:val="23"/>
        </w:rPr>
        <w:t xml:space="preserve">, el particular </w:t>
      </w:r>
      <w:r>
        <w:rPr>
          <w:rFonts w:ascii="Palatino Linotype" w:hAnsi="Palatino Linotype"/>
          <w:sz w:val="23"/>
          <w:szCs w:val="23"/>
        </w:rPr>
        <w:t>interpuso el recurso de revisión al rubro indicado</w:t>
      </w:r>
      <w:r w:rsidR="00FD2E98" w:rsidRPr="0077579A">
        <w:rPr>
          <w:rFonts w:ascii="Palatino Linotype" w:hAnsi="Palatino Linotype"/>
          <w:sz w:val="23"/>
          <w:szCs w:val="23"/>
        </w:rPr>
        <w:t xml:space="preserve">, manifestando como </w:t>
      </w:r>
      <w:r w:rsidR="00FD2E98" w:rsidRPr="0077579A">
        <w:rPr>
          <w:rFonts w:ascii="Palatino Linotype" w:hAnsi="Palatino Linotype"/>
          <w:b/>
          <w:sz w:val="23"/>
          <w:szCs w:val="23"/>
        </w:rPr>
        <w:t>acto impugnado</w:t>
      </w:r>
      <w:r>
        <w:rPr>
          <w:rFonts w:ascii="Palatino Linotype" w:hAnsi="Palatino Linotype"/>
          <w:sz w:val="23"/>
          <w:szCs w:val="23"/>
        </w:rPr>
        <w:t xml:space="preserve"> </w:t>
      </w:r>
      <w:r w:rsidRPr="0071064B">
        <w:rPr>
          <w:rFonts w:ascii="Palatino Linotype" w:hAnsi="Palatino Linotype"/>
          <w:i/>
          <w:sz w:val="23"/>
          <w:szCs w:val="23"/>
        </w:rPr>
        <w:t xml:space="preserve">“La respuesta otorgada por la administración, no contiene lo que solicité en virtud de que sus ligas no conducen a ningún sitio.” </w:t>
      </w:r>
      <w:r w:rsidR="00FD2E98" w:rsidRPr="0077579A">
        <w:rPr>
          <w:rFonts w:ascii="Palatino Linotype" w:hAnsi="Palatino Linotype"/>
          <w:sz w:val="23"/>
          <w:szCs w:val="23"/>
        </w:rPr>
        <w:t xml:space="preserve"> </w:t>
      </w:r>
      <w:r>
        <w:rPr>
          <w:rFonts w:ascii="Palatino Linotype" w:hAnsi="Palatino Linotype"/>
          <w:sz w:val="23"/>
          <w:szCs w:val="23"/>
        </w:rPr>
        <w:t xml:space="preserve">y </w:t>
      </w:r>
      <w:r w:rsidR="00FD2E98" w:rsidRPr="0077579A">
        <w:rPr>
          <w:rFonts w:ascii="Palatino Linotype" w:hAnsi="Palatino Linotype"/>
          <w:sz w:val="23"/>
          <w:szCs w:val="23"/>
        </w:rPr>
        <w:t xml:space="preserve">como </w:t>
      </w:r>
      <w:r w:rsidR="00FD2E98" w:rsidRPr="0077579A">
        <w:rPr>
          <w:rFonts w:ascii="Palatino Linotype" w:hAnsi="Palatino Linotype"/>
          <w:b/>
          <w:sz w:val="23"/>
          <w:szCs w:val="23"/>
        </w:rPr>
        <w:t xml:space="preserve">motivos de inconformidad </w:t>
      </w:r>
      <w:r w:rsidR="00FD2E98" w:rsidRPr="0077579A">
        <w:rPr>
          <w:rFonts w:ascii="Palatino Linotype" w:hAnsi="Palatino Linotype"/>
          <w:sz w:val="23"/>
          <w:szCs w:val="23"/>
        </w:rPr>
        <w:t xml:space="preserve">que </w:t>
      </w:r>
      <w:r w:rsidRPr="0071064B">
        <w:rPr>
          <w:rFonts w:ascii="Palatino Linotype" w:hAnsi="Palatino Linotype"/>
          <w:i/>
          <w:sz w:val="23"/>
          <w:szCs w:val="23"/>
        </w:rPr>
        <w:t>“Solicito que la respuesta contenga adjunto el PDF, adicional a que es incompleta.”</w:t>
      </w:r>
      <w:r w:rsidR="00FD2E98" w:rsidRPr="0077579A">
        <w:rPr>
          <w:rFonts w:ascii="Palatino Linotype" w:eastAsia="Times New Roman" w:hAnsi="Palatino Linotype" w:cs="Tahoma"/>
          <w:bCs/>
          <w:sz w:val="23"/>
          <w:szCs w:val="23"/>
          <w:lang w:val="es-ES" w:eastAsia="es-ES"/>
        </w:rPr>
        <w:t>.</w:t>
      </w:r>
      <w:r w:rsidR="00FD2E98" w:rsidRPr="0077579A">
        <w:rPr>
          <w:rFonts w:ascii="Palatino Linotype" w:hAnsi="Palatino Linotype"/>
          <w:sz w:val="23"/>
          <w:szCs w:val="23"/>
        </w:rPr>
        <w:t xml:space="preserve"> </w:t>
      </w:r>
    </w:p>
    <w:p w:rsidR="0071064B" w:rsidRDefault="00FD2E98" w:rsidP="00500D1E">
      <w:pPr>
        <w:spacing w:before="240" w:after="240" w:line="360" w:lineRule="auto"/>
        <w:jc w:val="both"/>
        <w:rPr>
          <w:rFonts w:ascii="Palatino Linotype" w:hAnsi="Palatino Linotype"/>
          <w:sz w:val="23"/>
          <w:szCs w:val="23"/>
        </w:rPr>
      </w:pPr>
      <w:r w:rsidRPr="0077579A">
        <w:rPr>
          <w:rFonts w:ascii="Palatino Linotype" w:hAnsi="Palatino Linotype"/>
          <w:sz w:val="23"/>
          <w:szCs w:val="23"/>
        </w:rPr>
        <w:t xml:space="preserve">En el estudio de fondo de la resolución, la Ponencia resolutora </w:t>
      </w:r>
      <w:r w:rsidR="0071064B">
        <w:rPr>
          <w:rFonts w:ascii="Palatino Linotype" w:hAnsi="Palatino Linotype"/>
          <w:sz w:val="23"/>
          <w:szCs w:val="23"/>
        </w:rPr>
        <w:t>analizó la información proporcionada por el Sujeto obligado al momento de emitir respuesta, así como al rendir informe justificado determinando que la misma tiene inconsistencias, aunado a que no se pronunció respecto a los Manuales de Procedimientos y de Organizaci</w:t>
      </w:r>
      <w:r w:rsidR="00500D1E">
        <w:rPr>
          <w:rFonts w:ascii="Palatino Linotype" w:hAnsi="Palatino Linotype"/>
          <w:sz w:val="23"/>
          <w:szCs w:val="23"/>
        </w:rPr>
        <w:t>ón.</w:t>
      </w:r>
    </w:p>
    <w:p w:rsidR="00500D1E" w:rsidRPr="00500D1E" w:rsidRDefault="00500D1E" w:rsidP="00500D1E">
      <w:pPr>
        <w:spacing w:before="240" w:after="240" w:line="360" w:lineRule="auto"/>
        <w:jc w:val="both"/>
        <w:rPr>
          <w:rFonts w:ascii="Palatino Linotype" w:hAnsi="Palatino Linotype"/>
          <w:sz w:val="23"/>
          <w:szCs w:val="23"/>
        </w:rPr>
      </w:pPr>
      <w:r>
        <w:rPr>
          <w:rFonts w:ascii="Palatino Linotype" w:hAnsi="Palatino Linotype"/>
          <w:sz w:val="23"/>
          <w:szCs w:val="23"/>
        </w:rPr>
        <w:t xml:space="preserve">Del mismo modo refirió que </w:t>
      </w:r>
      <w:r w:rsidRPr="00500D1E">
        <w:rPr>
          <w:rFonts w:ascii="Palatino Linotype" w:hAnsi="Palatino Linotype"/>
          <w:sz w:val="23"/>
          <w:szCs w:val="23"/>
        </w:rPr>
        <w:t>de conformidad con el artículo 30 del Bando Municipal</w:t>
      </w:r>
      <w:r>
        <w:rPr>
          <w:rFonts w:ascii="Palatino Linotype" w:hAnsi="Palatino Linotype"/>
          <w:sz w:val="23"/>
          <w:szCs w:val="23"/>
        </w:rPr>
        <w:t xml:space="preserve"> de Texcoco para el año 2019</w:t>
      </w:r>
      <w:r w:rsidRPr="00500D1E">
        <w:rPr>
          <w:rFonts w:ascii="Palatino Linotype" w:hAnsi="Palatino Linotype"/>
          <w:sz w:val="23"/>
          <w:szCs w:val="23"/>
        </w:rPr>
        <w:t xml:space="preserve">, dentro de la estructura orgánica del </w:t>
      </w:r>
      <w:r w:rsidRPr="00500D1E">
        <w:rPr>
          <w:rFonts w:ascii="Palatino Linotype" w:hAnsi="Palatino Linotype"/>
          <w:b/>
          <w:sz w:val="23"/>
          <w:szCs w:val="23"/>
        </w:rPr>
        <w:t>SUJETO OBLIGADO</w:t>
      </w:r>
      <w:r w:rsidRPr="00500D1E">
        <w:rPr>
          <w:rFonts w:ascii="Palatino Linotype" w:hAnsi="Palatino Linotype"/>
          <w:sz w:val="23"/>
          <w:szCs w:val="23"/>
        </w:rPr>
        <w:t xml:space="preserve"> se encuentra la </w:t>
      </w:r>
      <w:r w:rsidRPr="00500D1E">
        <w:rPr>
          <w:rFonts w:ascii="Palatino Linotype" w:hAnsi="Palatino Linotype"/>
          <w:b/>
          <w:sz w:val="23"/>
          <w:szCs w:val="23"/>
        </w:rPr>
        <w:t>Dirección General de Seguridad Pública y Movilidad</w:t>
      </w:r>
      <w:r w:rsidRPr="00500D1E">
        <w:rPr>
          <w:rFonts w:ascii="Palatino Linotype" w:hAnsi="Palatino Linotype"/>
          <w:sz w:val="23"/>
          <w:szCs w:val="23"/>
        </w:rPr>
        <w:t>, la cual tiene las funciones de seguridad pública y tránsito vehicular.</w:t>
      </w:r>
    </w:p>
    <w:p w:rsidR="00500D1E" w:rsidRPr="00500D1E" w:rsidRDefault="00500D1E" w:rsidP="00500D1E">
      <w:pPr>
        <w:spacing w:before="240" w:after="240" w:line="360" w:lineRule="auto"/>
        <w:jc w:val="both"/>
        <w:rPr>
          <w:rFonts w:ascii="Palatino Linotype" w:hAnsi="Palatino Linotype"/>
          <w:sz w:val="23"/>
          <w:szCs w:val="23"/>
        </w:rPr>
      </w:pPr>
      <w:r w:rsidRPr="00500D1E">
        <w:rPr>
          <w:rFonts w:ascii="Palatino Linotype" w:hAnsi="Palatino Linotype"/>
          <w:sz w:val="23"/>
          <w:szCs w:val="23"/>
        </w:rPr>
        <w:t xml:space="preserve">Al respecto, el artículo 64 del Bando de Gobierno del Municipio de Texcoco 2019 establece que la Dirección General de Seguridad Pública y Movilidad, ejercerá sus funciones, de conformidad con lo mandatado en los siguientes ordenamientos: Constitución Federal, Constitución Local, Ley General del Sistema Nacional de Seguridad Pública, Ley de Seguridad del Estado de México, Código Administrativo, el Código de Procedimientos Administrativos, la Ley Orgánica, Reglamento de Tránsito del Estado de México, el Bando, el </w:t>
      </w:r>
      <w:r w:rsidRPr="00500D1E">
        <w:rPr>
          <w:rFonts w:ascii="Palatino Linotype" w:hAnsi="Palatino Linotype"/>
          <w:b/>
          <w:sz w:val="23"/>
          <w:szCs w:val="23"/>
        </w:rPr>
        <w:t xml:space="preserve">Reglamento de la Dirección General de Seguridad </w:t>
      </w:r>
      <w:r w:rsidRPr="00500D1E">
        <w:rPr>
          <w:rFonts w:ascii="Palatino Linotype" w:hAnsi="Palatino Linotype"/>
          <w:b/>
          <w:sz w:val="23"/>
          <w:szCs w:val="23"/>
        </w:rPr>
        <w:lastRenderedPageBreak/>
        <w:t>Pública y Movilidad del Municipio de Texcoco</w:t>
      </w:r>
      <w:r>
        <w:rPr>
          <w:rFonts w:ascii="Palatino Linotype" w:hAnsi="Palatino Linotype"/>
          <w:sz w:val="23"/>
          <w:szCs w:val="23"/>
        </w:rPr>
        <w:t xml:space="preserve">, </w:t>
      </w:r>
      <w:r w:rsidRPr="00500D1E">
        <w:rPr>
          <w:rFonts w:ascii="Palatino Linotype" w:hAnsi="Palatino Linotype"/>
          <w:sz w:val="23"/>
          <w:szCs w:val="23"/>
        </w:rPr>
        <w:t xml:space="preserve">el Reglamento del Servicio Profesional de Carrera y </w:t>
      </w:r>
      <w:r w:rsidRPr="00500D1E">
        <w:rPr>
          <w:rFonts w:ascii="Palatino Linotype" w:hAnsi="Palatino Linotype"/>
          <w:b/>
          <w:sz w:val="23"/>
          <w:szCs w:val="23"/>
        </w:rPr>
        <w:t>demás ordenamientos legales vigentes en la materia</w:t>
      </w:r>
      <w:r w:rsidRPr="00500D1E">
        <w:rPr>
          <w:rFonts w:ascii="Palatino Linotype" w:hAnsi="Palatino Linotype"/>
          <w:sz w:val="23"/>
          <w:szCs w:val="23"/>
        </w:rPr>
        <w:t>.</w:t>
      </w:r>
    </w:p>
    <w:p w:rsidR="00500D1E" w:rsidRDefault="00500D1E" w:rsidP="00500D1E">
      <w:pPr>
        <w:spacing w:before="240" w:after="240" w:line="360" w:lineRule="auto"/>
        <w:jc w:val="both"/>
        <w:rPr>
          <w:rFonts w:ascii="Palatino Linotype" w:hAnsi="Palatino Linotype"/>
          <w:sz w:val="23"/>
          <w:szCs w:val="23"/>
        </w:rPr>
      </w:pPr>
      <w:r w:rsidRPr="00500D1E">
        <w:rPr>
          <w:rFonts w:ascii="Palatino Linotype" w:hAnsi="Palatino Linotype"/>
          <w:sz w:val="23"/>
          <w:szCs w:val="23"/>
        </w:rPr>
        <w:t xml:space="preserve">Por su parte, los artículos 74 y 75 del Bando en comento establecen que la movilidad urbana es un derecho humano, que obliga al Ayuntamiento a realizar un conjunto de acciones que tiendan a procurar su debido ejercicio y contribuir al desarrollo sustentable del Municipio y será a través de la Dirección de Seguridad Pública y Movilidad, quien lo procure además del resguardo, mantenimiento vial, conservación, vigilancia y el control de la utilización de las avenidas, calles, caminos, callejones, ciclo vías, banquetas y áreas comunes, mediante la aplicación de las medidas contempladas en su </w:t>
      </w:r>
      <w:r w:rsidRPr="00500D1E">
        <w:rPr>
          <w:rFonts w:ascii="Palatino Linotype" w:hAnsi="Palatino Linotype"/>
          <w:b/>
          <w:sz w:val="23"/>
          <w:szCs w:val="23"/>
        </w:rPr>
        <w:t>Reglamento Interno</w:t>
      </w:r>
      <w:r w:rsidRPr="00500D1E">
        <w:rPr>
          <w:rFonts w:ascii="Palatino Linotype" w:hAnsi="Palatino Linotype"/>
          <w:sz w:val="23"/>
          <w:szCs w:val="23"/>
        </w:rPr>
        <w:t>, el Reglamento del Servicio de Parquímetros en la Vía Pública del Municipio y el Reglamento de Tránsito del Estado de México en los ámbitos de su competencia; teniendo la facultad de ordenar y regular el uso y circulación de avenidas, calles, caminos, callejones, ciclo vías, banquetas y áreas comunes.</w:t>
      </w:r>
    </w:p>
    <w:p w:rsidR="00500D1E" w:rsidRDefault="00500D1E" w:rsidP="00500D1E">
      <w:pPr>
        <w:spacing w:before="240" w:after="240" w:line="360" w:lineRule="auto"/>
        <w:jc w:val="both"/>
        <w:rPr>
          <w:rFonts w:ascii="Palatino Linotype" w:hAnsi="Palatino Linotype"/>
          <w:sz w:val="23"/>
          <w:szCs w:val="23"/>
        </w:rPr>
      </w:pPr>
      <w:r>
        <w:rPr>
          <w:rFonts w:ascii="Palatino Linotype" w:hAnsi="Palatino Linotype"/>
          <w:sz w:val="23"/>
          <w:szCs w:val="23"/>
        </w:rPr>
        <w:t>En atención a ello, la Ponencia determinó Revocar la respuesta y ordenar al Sujeto Obligado hiciera entrega de lo siguiente:</w:t>
      </w:r>
    </w:p>
    <w:p w:rsidR="00500D1E" w:rsidRPr="001D0D3F" w:rsidRDefault="00500D1E" w:rsidP="00500D1E">
      <w:pPr>
        <w:spacing w:before="100" w:beforeAutospacing="1" w:after="100" w:afterAutospacing="1"/>
        <w:ind w:left="851" w:right="902"/>
        <w:jc w:val="both"/>
        <w:rPr>
          <w:rFonts w:ascii="Palatino Linotype" w:hAnsi="Palatino Linotype"/>
          <w:i/>
          <w:iCs/>
          <w:color w:val="222222"/>
          <w:lang w:eastAsia="es-MX"/>
        </w:rPr>
      </w:pPr>
      <w:r w:rsidRPr="001D0D3F">
        <w:rPr>
          <w:rFonts w:ascii="Palatino Linotype" w:hAnsi="Palatino Linotype"/>
          <w:i/>
          <w:iCs/>
          <w:color w:val="222222"/>
          <w:lang w:eastAsia="es-MX"/>
        </w:rPr>
        <w:t xml:space="preserve">“a) </w:t>
      </w:r>
      <w:r w:rsidRPr="00500D1E">
        <w:rPr>
          <w:rFonts w:ascii="Palatino Linotype" w:hAnsi="Palatino Linotype"/>
          <w:b/>
          <w:i/>
          <w:iCs/>
          <w:color w:val="222222"/>
          <w:u w:val="single"/>
          <w:lang w:eastAsia="es-MX"/>
        </w:rPr>
        <w:t>El Reglamento de la Dirección General de Seguridad Pública y Movilidad del Municipio de Texcoco, vigente al tres de abril de dos mil diecinueve</w:t>
      </w:r>
      <w:r w:rsidRPr="001D0D3F">
        <w:rPr>
          <w:rFonts w:ascii="Palatino Linotype" w:hAnsi="Palatino Linotype"/>
          <w:i/>
          <w:iCs/>
          <w:color w:val="222222"/>
          <w:lang w:eastAsia="es-MX"/>
        </w:rPr>
        <w:t>; y</w:t>
      </w:r>
    </w:p>
    <w:p w:rsidR="00500D1E" w:rsidRPr="001D0D3F" w:rsidRDefault="00500D1E" w:rsidP="00500D1E">
      <w:pPr>
        <w:spacing w:before="100" w:beforeAutospacing="1" w:after="100" w:afterAutospacing="1"/>
        <w:ind w:left="851" w:right="902"/>
        <w:jc w:val="both"/>
        <w:rPr>
          <w:rFonts w:ascii="Palatino Linotype" w:hAnsi="Palatino Linotype"/>
          <w:i/>
          <w:iCs/>
          <w:color w:val="222222"/>
          <w:lang w:eastAsia="es-MX"/>
        </w:rPr>
      </w:pPr>
      <w:r w:rsidRPr="001D0D3F">
        <w:rPr>
          <w:rFonts w:ascii="Palatino Linotype" w:hAnsi="Palatino Linotype"/>
          <w:i/>
          <w:iCs/>
          <w:color w:val="222222"/>
          <w:lang w:eastAsia="es-MX"/>
        </w:rPr>
        <w:t>b) Los Manuales de Procedimientos y de Organización de la Dirección General de Seguridad Pública y Movilidad del Municipio de Texcoco, vigentes al tres de abril de dos mil diecinueve.</w:t>
      </w:r>
    </w:p>
    <w:p w:rsidR="00500D1E" w:rsidRDefault="00500D1E" w:rsidP="00500D1E">
      <w:pPr>
        <w:spacing w:before="100" w:beforeAutospacing="1" w:after="100" w:afterAutospacing="1"/>
        <w:ind w:left="851" w:right="902"/>
        <w:jc w:val="both"/>
        <w:rPr>
          <w:rFonts w:ascii="Palatino Linotype" w:hAnsi="Palatino Linotype"/>
          <w:i/>
          <w:iCs/>
          <w:color w:val="222222"/>
          <w:lang w:eastAsia="es-MX"/>
        </w:rPr>
      </w:pPr>
      <w:r w:rsidRPr="00500D1E">
        <w:rPr>
          <w:rFonts w:ascii="Palatino Linotype" w:hAnsi="Palatino Linotype"/>
          <w:b/>
          <w:i/>
          <w:iCs/>
          <w:color w:val="222222"/>
          <w:u w:val="single"/>
          <w:lang w:eastAsia="es-MX"/>
        </w:rPr>
        <w:lastRenderedPageBreak/>
        <w:t>En caso de no contar con la información referida en el inciso a), el Comité de Transparencia deberá emitir el Acuerdo de Inexistencia,</w:t>
      </w:r>
      <w:r w:rsidRPr="001D0D3F">
        <w:rPr>
          <w:rFonts w:ascii="Palatino Linotype" w:hAnsi="Palatino Linotype"/>
          <w:i/>
          <w:iCs/>
          <w:color w:val="222222"/>
          <w:lang w:eastAsia="es-MX"/>
        </w:rPr>
        <w:t xml:space="preserve"> en términos de los artículos 49, fracciones II y XIII, 169 y 170 de la Ley de Transparencia y Acceso a la Información Pública del Estado de México y Municipios, debiendo notificarlo al </w:t>
      </w:r>
      <w:r w:rsidRPr="001D0D3F">
        <w:rPr>
          <w:rFonts w:ascii="Palatino Linotype" w:hAnsi="Palatino Linotype"/>
          <w:b/>
          <w:i/>
          <w:iCs/>
          <w:color w:val="222222"/>
          <w:lang w:eastAsia="es-MX"/>
        </w:rPr>
        <w:t>RECURRENTE</w:t>
      </w:r>
      <w:r w:rsidRPr="001D0D3F">
        <w:rPr>
          <w:rFonts w:ascii="Palatino Linotype" w:hAnsi="Palatino Linotype"/>
          <w:i/>
          <w:iCs/>
          <w:color w:val="222222"/>
          <w:lang w:eastAsia="es-MX"/>
        </w:rPr>
        <w:t xml:space="preserve"> al momento de dar cumplimiento a la presente resolución”.</w:t>
      </w:r>
    </w:p>
    <w:p w:rsidR="00500D1E" w:rsidRPr="001D0D3F" w:rsidRDefault="00500D1E" w:rsidP="00500D1E">
      <w:pPr>
        <w:spacing w:before="100" w:beforeAutospacing="1" w:after="100" w:afterAutospacing="1"/>
        <w:ind w:left="851" w:right="902"/>
        <w:jc w:val="both"/>
        <w:rPr>
          <w:rFonts w:ascii="Palatino Linotype" w:hAnsi="Palatino Linotype"/>
          <w:i/>
          <w:iCs/>
          <w:color w:val="222222"/>
          <w:lang w:eastAsia="es-MX"/>
        </w:rPr>
      </w:pPr>
      <w:r>
        <w:rPr>
          <w:rFonts w:ascii="Palatino Linotype" w:hAnsi="Palatino Linotype"/>
          <w:i/>
          <w:iCs/>
          <w:color w:val="222222"/>
          <w:lang w:eastAsia="es-MX"/>
        </w:rPr>
        <w:t>Énfasis añadido.</w:t>
      </w:r>
    </w:p>
    <w:p w:rsidR="00500D1E" w:rsidRDefault="00500D1E" w:rsidP="00500D1E">
      <w:pPr>
        <w:spacing w:before="240" w:after="240" w:line="360" w:lineRule="auto"/>
        <w:jc w:val="both"/>
        <w:rPr>
          <w:rFonts w:ascii="Palatino Linotype" w:hAnsi="Palatino Linotype"/>
          <w:iCs/>
          <w:sz w:val="23"/>
          <w:szCs w:val="23"/>
        </w:rPr>
      </w:pPr>
      <w:r>
        <w:rPr>
          <w:rFonts w:ascii="Palatino Linotype" w:hAnsi="Palatino Linotype"/>
          <w:sz w:val="23"/>
          <w:szCs w:val="23"/>
        </w:rPr>
        <w:t xml:space="preserve">De lo referido con anterioridad debe mencionarse que no se comparte en que se haya ordenado la entrega del </w:t>
      </w:r>
      <w:r w:rsidRPr="00500D1E">
        <w:rPr>
          <w:rFonts w:ascii="Palatino Linotype" w:hAnsi="Palatino Linotype"/>
          <w:iCs/>
          <w:sz w:val="23"/>
          <w:szCs w:val="23"/>
        </w:rPr>
        <w:t>Reglamento de la Dirección General de Seguridad Pública y Movilidad del Municipio de Texcoco</w:t>
      </w:r>
      <w:r>
        <w:rPr>
          <w:rFonts w:ascii="Palatino Linotype" w:hAnsi="Palatino Linotype"/>
          <w:iCs/>
          <w:sz w:val="23"/>
          <w:szCs w:val="23"/>
        </w:rPr>
        <w:t xml:space="preserve">, lo anterior es así toda vez que si bien es cierto el uno de enero del presente año inicio la administración pública municipal 2019-2021 y conforme a lo establecido en el artículo 30 del Bando Municipal cambio al denominación de una unidad administrativa, en este caso de la </w:t>
      </w:r>
      <w:r w:rsidRPr="00500D1E">
        <w:rPr>
          <w:rFonts w:ascii="Palatino Linotype" w:hAnsi="Palatino Linotype"/>
          <w:b/>
          <w:iCs/>
          <w:sz w:val="23"/>
          <w:szCs w:val="23"/>
        </w:rPr>
        <w:t>Dirección General de Seguridad Pública y Movilidad</w:t>
      </w:r>
      <w:r>
        <w:rPr>
          <w:rFonts w:ascii="Palatino Linotype" w:hAnsi="Palatino Linotype"/>
          <w:b/>
          <w:iCs/>
          <w:sz w:val="23"/>
          <w:szCs w:val="23"/>
        </w:rPr>
        <w:t xml:space="preserve">, </w:t>
      </w:r>
      <w:r w:rsidR="00D52C3F" w:rsidRPr="00D52C3F">
        <w:rPr>
          <w:rFonts w:ascii="Palatino Linotype" w:hAnsi="Palatino Linotype"/>
          <w:iCs/>
          <w:sz w:val="23"/>
          <w:szCs w:val="23"/>
        </w:rPr>
        <w:t>sin em</w:t>
      </w:r>
      <w:r w:rsidR="00D52C3F">
        <w:rPr>
          <w:rFonts w:ascii="Palatino Linotype" w:hAnsi="Palatino Linotype"/>
          <w:iCs/>
          <w:sz w:val="23"/>
          <w:szCs w:val="23"/>
        </w:rPr>
        <w:t xml:space="preserve">bargo no se debe perder de vista que el Sujeto Obligado al momento de rendir su informe justificado proporcionó entre otras cosas el </w:t>
      </w:r>
      <w:r w:rsidR="00D52C3F" w:rsidRPr="00D52C3F">
        <w:rPr>
          <w:rFonts w:ascii="Palatino Linotype" w:hAnsi="Palatino Linotype"/>
          <w:iCs/>
          <w:sz w:val="23"/>
          <w:szCs w:val="23"/>
        </w:rPr>
        <w:t xml:space="preserve">Reglamento de la </w:t>
      </w:r>
      <w:r w:rsidR="00D52C3F" w:rsidRPr="00D52C3F">
        <w:rPr>
          <w:rFonts w:ascii="Palatino Linotype" w:hAnsi="Palatino Linotype"/>
          <w:b/>
          <w:iCs/>
          <w:sz w:val="23"/>
          <w:szCs w:val="23"/>
        </w:rPr>
        <w:t xml:space="preserve">Dirección de Seguridad Publica Preventiva y Protección Civil </w:t>
      </w:r>
      <w:r w:rsidR="00D52C3F" w:rsidRPr="00D52C3F">
        <w:rPr>
          <w:rFonts w:ascii="Palatino Linotype" w:hAnsi="Palatino Linotype"/>
          <w:iCs/>
          <w:sz w:val="23"/>
          <w:szCs w:val="23"/>
        </w:rPr>
        <w:t>de Texcoco</w:t>
      </w:r>
      <w:r w:rsidR="00D52C3F">
        <w:rPr>
          <w:rFonts w:ascii="Palatino Linotype" w:hAnsi="Palatino Linotype"/>
          <w:iCs/>
          <w:sz w:val="23"/>
          <w:szCs w:val="23"/>
        </w:rPr>
        <w:t xml:space="preserve">, </w:t>
      </w:r>
      <w:r w:rsidR="00D52C3F" w:rsidRPr="00D52C3F">
        <w:rPr>
          <w:rFonts w:ascii="Palatino Linotype" w:hAnsi="Palatino Linotype"/>
          <w:iCs/>
          <w:sz w:val="23"/>
          <w:szCs w:val="23"/>
        </w:rPr>
        <w:t xml:space="preserve">publicado el  </w:t>
      </w:r>
      <w:r w:rsidR="00D52C3F">
        <w:rPr>
          <w:rFonts w:ascii="Palatino Linotype" w:hAnsi="Palatino Linotype"/>
          <w:iCs/>
          <w:sz w:val="23"/>
          <w:szCs w:val="23"/>
        </w:rPr>
        <w:t xml:space="preserve">tres de abril de 2013, cuya última modificación se realizó el trece de noviembre de 2017, razón por la cual se debe tener por atendido el punto de la solicitud en comento, toda vez que esa fue la información que proporcionó el Sujeto Obligado infiriéndose que es la normatividad con la que cuenta y que está vigente, aunado a que este Instituto no está facultado para dudar de la veracidad de información proporcionada por los Sujeto Obligados. </w:t>
      </w:r>
    </w:p>
    <w:p w:rsidR="00D52C3F" w:rsidRDefault="00D52C3F" w:rsidP="00500D1E">
      <w:pPr>
        <w:spacing w:before="240" w:after="240" w:line="360" w:lineRule="auto"/>
        <w:jc w:val="both"/>
        <w:rPr>
          <w:rFonts w:ascii="Palatino Linotype" w:hAnsi="Palatino Linotype"/>
          <w:sz w:val="23"/>
          <w:szCs w:val="23"/>
        </w:rPr>
      </w:pPr>
      <w:r>
        <w:rPr>
          <w:rFonts w:ascii="Palatino Linotype" w:hAnsi="Palatino Linotype"/>
          <w:sz w:val="23"/>
          <w:szCs w:val="23"/>
        </w:rPr>
        <w:t>Sobre este punto en particular es de suma importancia mencionar que el Bando Municipal de Texcoco 2019, en su artículo 64 establece:</w:t>
      </w:r>
    </w:p>
    <w:p w:rsidR="00D52C3F" w:rsidRDefault="00D52C3F" w:rsidP="00D52C3F">
      <w:pPr>
        <w:spacing w:after="0" w:line="240" w:lineRule="auto"/>
        <w:ind w:left="851" w:right="851"/>
        <w:jc w:val="both"/>
        <w:rPr>
          <w:rFonts w:ascii="Palatino Linotype" w:hAnsi="Palatino Linotype"/>
          <w:i/>
          <w:sz w:val="20"/>
          <w:szCs w:val="20"/>
        </w:rPr>
      </w:pPr>
      <w:r w:rsidRPr="00D52C3F">
        <w:rPr>
          <w:rFonts w:ascii="Palatino Linotype" w:hAnsi="Palatino Linotype"/>
          <w:b/>
          <w:i/>
          <w:sz w:val="20"/>
          <w:szCs w:val="20"/>
        </w:rPr>
        <w:lastRenderedPageBreak/>
        <w:t>Artículo 64.-</w:t>
      </w:r>
      <w:r w:rsidRPr="00D52C3F">
        <w:rPr>
          <w:rFonts w:ascii="Palatino Linotype" w:hAnsi="Palatino Linotype"/>
          <w:i/>
          <w:sz w:val="20"/>
          <w:szCs w:val="20"/>
        </w:rPr>
        <w:t xml:space="preserve"> </w:t>
      </w:r>
      <w:r w:rsidRPr="00D52C3F">
        <w:rPr>
          <w:rFonts w:ascii="Palatino Linotype" w:hAnsi="Palatino Linotype"/>
          <w:b/>
          <w:i/>
          <w:sz w:val="20"/>
          <w:szCs w:val="20"/>
          <w:u w:val="single"/>
        </w:rPr>
        <w:t>Las funciones de seguridad pública y tránsito vehicular serán ejercidas por el Ayuntamiento, a través de la Dirección General de Seguridad Pública y Movilidad, quién ejercerá su función en el Municipio, de conformidad con</w:t>
      </w:r>
      <w:r w:rsidRPr="00D52C3F">
        <w:rPr>
          <w:rFonts w:ascii="Palatino Linotype" w:hAnsi="Palatino Linotype"/>
          <w:i/>
          <w:sz w:val="20"/>
          <w:szCs w:val="20"/>
        </w:rPr>
        <w:t xml:space="preserve"> lo mandatado en los siguientes ordenamientos: Constitución Federal, Constitución Local, Ley General del Sistema Nacional de Seguridad Pública, Ley de Seguridad del Estado de México, Código Administrativo, el Código de Procedimientos Administrativos, la Ley Orgánica, Reglamento de Tránsito del Estado de México, el presente Bando, </w:t>
      </w:r>
      <w:r w:rsidRPr="00D52C3F">
        <w:rPr>
          <w:rFonts w:ascii="Palatino Linotype" w:hAnsi="Palatino Linotype"/>
          <w:b/>
          <w:i/>
          <w:sz w:val="20"/>
          <w:szCs w:val="20"/>
          <w:u w:val="single"/>
        </w:rPr>
        <w:t>el Reglamento de la Dirección General de Seguridad Pública y Movilidad del Municipio de Texcoco</w:t>
      </w:r>
      <w:r w:rsidRPr="00D52C3F">
        <w:rPr>
          <w:rFonts w:ascii="Palatino Linotype" w:hAnsi="Palatino Linotype"/>
          <w:i/>
          <w:sz w:val="20"/>
          <w:szCs w:val="20"/>
        </w:rPr>
        <w:t>, el Reglamento del Servicio Profesional de Carrera y demás ordenamientos legales vigentes en la materia.</w:t>
      </w:r>
    </w:p>
    <w:p w:rsidR="00D52C3F" w:rsidRDefault="00D52C3F" w:rsidP="00D52C3F">
      <w:pPr>
        <w:spacing w:after="0" w:line="240" w:lineRule="auto"/>
        <w:ind w:left="851" w:right="851"/>
        <w:jc w:val="both"/>
        <w:rPr>
          <w:rFonts w:ascii="Palatino Linotype" w:hAnsi="Palatino Linotype"/>
          <w:b/>
          <w:i/>
          <w:sz w:val="20"/>
          <w:szCs w:val="20"/>
        </w:rPr>
      </w:pPr>
    </w:p>
    <w:p w:rsidR="00D52C3F" w:rsidRPr="00D52C3F" w:rsidRDefault="00D52C3F" w:rsidP="00D52C3F">
      <w:pPr>
        <w:spacing w:after="0" w:line="240" w:lineRule="auto"/>
        <w:ind w:left="851" w:right="851"/>
        <w:jc w:val="both"/>
        <w:rPr>
          <w:rFonts w:ascii="Palatino Linotype" w:hAnsi="Palatino Linotype"/>
          <w:i/>
          <w:sz w:val="20"/>
          <w:szCs w:val="20"/>
        </w:rPr>
      </w:pPr>
      <w:r>
        <w:rPr>
          <w:rFonts w:ascii="Palatino Linotype" w:hAnsi="Palatino Linotype"/>
          <w:b/>
          <w:i/>
          <w:sz w:val="20"/>
          <w:szCs w:val="20"/>
        </w:rPr>
        <w:t>Énfasis añadido.</w:t>
      </w:r>
    </w:p>
    <w:p w:rsidR="00D52C3F" w:rsidRDefault="00D52C3F" w:rsidP="00FD2E98">
      <w:pPr>
        <w:spacing w:before="120" w:line="360" w:lineRule="auto"/>
        <w:jc w:val="both"/>
        <w:rPr>
          <w:rFonts w:ascii="Palatino Linotype" w:hAnsi="Palatino Linotype"/>
          <w:sz w:val="24"/>
          <w:szCs w:val="24"/>
        </w:rPr>
      </w:pPr>
    </w:p>
    <w:p w:rsidR="00D52C3F" w:rsidRPr="005875CE" w:rsidRDefault="00D52C3F" w:rsidP="00FD2E98">
      <w:pPr>
        <w:spacing w:before="120" w:line="360" w:lineRule="auto"/>
        <w:jc w:val="both"/>
        <w:rPr>
          <w:rFonts w:ascii="Palatino Linotype" w:hAnsi="Palatino Linotype"/>
          <w:sz w:val="24"/>
          <w:szCs w:val="24"/>
        </w:rPr>
      </w:pPr>
      <w:r>
        <w:rPr>
          <w:rFonts w:ascii="Palatino Linotype" w:hAnsi="Palatino Linotype"/>
          <w:sz w:val="24"/>
          <w:szCs w:val="24"/>
        </w:rPr>
        <w:t xml:space="preserve">Del dispositivo legal en mención se advierte que si bien es cierto en términos generales establece que la </w:t>
      </w:r>
      <w:r w:rsidRPr="00D52C3F">
        <w:rPr>
          <w:rFonts w:ascii="Palatino Linotype" w:hAnsi="Palatino Linotype"/>
          <w:sz w:val="24"/>
          <w:szCs w:val="24"/>
        </w:rPr>
        <w:t xml:space="preserve">Dirección General de Seguridad Pública y Movilidad, quién ejercerá su función en el Municipio, </w:t>
      </w:r>
      <w:r w:rsidR="005875CE">
        <w:rPr>
          <w:rFonts w:ascii="Palatino Linotype" w:hAnsi="Palatino Linotype"/>
          <w:sz w:val="24"/>
          <w:szCs w:val="24"/>
        </w:rPr>
        <w:t xml:space="preserve">conforme a lo establecido por diversos cuerpos normativos entre los que se encuentra el </w:t>
      </w:r>
      <w:r w:rsidR="005875CE" w:rsidRPr="005875CE">
        <w:rPr>
          <w:rFonts w:ascii="Palatino Linotype" w:hAnsi="Palatino Linotype"/>
          <w:sz w:val="24"/>
          <w:szCs w:val="24"/>
        </w:rPr>
        <w:t>Reglamento de la Dirección General de Seguridad Pública y Movilidad del Municipio de Texcoco</w:t>
      </w:r>
      <w:r w:rsidR="005875CE">
        <w:rPr>
          <w:rFonts w:ascii="Palatino Linotype" w:hAnsi="Palatino Linotype"/>
          <w:sz w:val="24"/>
          <w:szCs w:val="24"/>
        </w:rPr>
        <w:t>, sin embargo también cierto lo es que del artículo en mención, así como del referido Bando Municipal no se advierte que se establezca una fecha cierta para la emisión del Reglamento cuya entrega se ordena, en este mismo orden de ideas es pertinente referir que la Ley Orgánica Municipal del Estado de México establece lo siguiente:</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Artículo 31.-</w:t>
      </w:r>
      <w:r w:rsidRPr="005875CE">
        <w:rPr>
          <w:rFonts w:ascii="Palatino Linotype" w:hAnsi="Palatino Linotype"/>
          <w:i/>
          <w:sz w:val="20"/>
          <w:szCs w:val="20"/>
        </w:rPr>
        <w:t xml:space="preserve"> Son </w:t>
      </w:r>
      <w:r w:rsidRPr="005875CE">
        <w:rPr>
          <w:rFonts w:ascii="Palatino Linotype" w:hAnsi="Palatino Linotype"/>
          <w:b/>
          <w:i/>
          <w:sz w:val="20"/>
          <w:szCs w:val="20"/>
          <w:u w:val="single"/>
        </w:rPr>
        <w:t>atr</w:t>
      </w:r>
      <w:r w:rsidRPr="005875CE">
        <w:rPr>
          <w:rFonts w:ascii="Palatino Linotype" w:hAnsi="Palatino Linotype"/>
          <w:b/>
          <w:i/>
          <w:sz w:val="20"/>
          <w:szCs w:val="20"/>
          <w:u w:val="single"/>
        </w:rPr>
        <w:t>ibuciones de los ayuntamientos</w:t>
      </w:r>
      <w:r w:rsidRPr="005875CE">
        <w:rPr>
          <w:rFonts w:ascii="Palatino Linotype" w:hAnsi="Palatino Linotype"/>
          <w:i/>
          <w:sz w:val="20"/>
          <w:szCs w:val="20"/>
        </w:rPr>
        <w:t>:</w:t>
      </w:r>
    </w:p>
    <w:p w:rsidR="00D52C3F"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I.</w:t>
      </w:r>
      <w:r w:rsidRPr="005875CE">
        <w:rPr>
          <w:rFonts w:ascii="Palatino Linotype" w:hAnsi="Palatino Linotype"/>
          <w:i/>
          <w:sz w:val="20"/>
          <w:szCs w:val="20"/>
        </w:rPr>
        <w:t xml:space="preserve"> </w:t>
      </w:r>
      <w:r w:rsidRPr="005875CE">
        <w:rPr>
          <w:rFonts w:ascii="Palatino Linotype" w:hAnsi="Palatino Linotype"/>
          <w:b/>
          <w:i/>
          <w:sz w:val="20"/>
          <w:szCs w:val="20"/>
          <w:u w:val="single"/>
        </w:rPr>
        <w:t>Expedir y reformar</w:t>
      </w:r>
      <w:r w:rsidRPr="005875CE">
        <w:rPr>
          <w:rFonts w:ascii="Palatino Linotype" w:hAnsi="Palatino Linotype"/>
          <w:i/>
          <w:sz w:val="20"/>
          <w:szCs w:val="20"/>
        </w:rPr>
        <w:t xml:space="preserve"> el Bando Municipal, así como </w:t>
      </w:r>
      <w:r w:rsidRPr="005875CE">
        <w:rPr>
          <w:rFonts w:ascii="Palatino Linotype" w:hAnsi="Palatino Linotype"/>
          <w:b/>
          <w:i/>
          <w:sz w:val="20"/>
          <w:szCs w:val="20"/>
          <w:u w:val="single"/>
        </w:rPr>
        <w:t>los reglamentos</w:t>
      </w:r>
      <w:r w:rsidRPr="005875CE">
        <w:rPr>
          <w:rFonts w:ascii="Palatino Linotype" w:hAnsi="Palatino Linotype"/>
          <w:i/>
          <w:sz w:val="20"/>
          <w:szCs w:val="20"/>
        </w:rPr>
        <w:t xml:space="preserve">, circulares </w:t>
      </w:r>
      <w:r w:rsidRPr="005875CE">
        <w:rPr>
          <w:rFonts w:ascii="Palatino Linotype" w:hAnsi="Palatino Linotype"/>
          <w:b/>
          <w:i/>
          <w:sz w:val="20"/>
          <w:szCs w:val="20"/>
          <w:u w:val="single"/>
        </w:rPr>
        <w:t>y disposiciones administrativas de observancia general dentro del territorio del municipio, que sean necesarios para su organización, prestación de los servicios públicos y, en general, para el cumplimiento de sus atribuciones</w:t>
      </w: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Artículo 48.-</w:t>
      </w:r>
      <w:r w:rsidRPr="005875CE">
        <w:rPr>
          <w:rFonts w:ascii="Palatino Linotype" w:hAnsi="Palatino Linotype"/>
          <w:i/>
          <w:sz w:val="20"/>
          <w:szCs w:val="20"/>
        </w:rPr>
        <w:t xml:space="preserve"> El </w:t>
      </w:r>
      <w:r w:rsidRPr="005875CE">
        <w:rPr>
          <w:rFonts w:ascii="Palatino Linotype" w:hAnsi="Palatino Linotype"/>
          <w:b/>
          <w:i/>
          <w:sz w:val="20"/>
          <w:szCs w:val="20"/>
          <w:u w:val="single"/>
        </w:rPr>
        <w:t>presidente municipal tiene las siguientes atribuciones</w:t>
      </w:r>
      <w:r w:rsidRPr="005875CE">
        <w:rPr>
          <w:rFonts w:ascii="Palatino Linotype" w:hAnsi="Palatino Linotype"/>
          <w:i/>
          <w:sz w:val="20"/>
          <w:szCs w:val="20"/>
        </w:rPr>
        <w:t xml:space="preserve">: </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i/>
          <w:sz w:val="20"/>
          <w:szCs w:val="20"/>
        </w:rPr>
        <w:lastRenderedPageBreak/>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III.</w:t>
      </w:r>
      <w:r w:rsidRPr="005875CE">
        <w:rPr>
          <w:rFonts w:ascii="Palatino Linotype" w:hAnsi="Palatino Linotype"/>
          <w:i/>
          <w:sz w:val="20"/>
          <w:szCs w:val="20"/>
        </w:rPr>
        <w:t xml:space="preserve"> </w:t>
      </w:r>
      <w:r w:rsidRPr="005875CE">
        <w:rPr>
          <w:rFonts w:ascii="Palatino Linotype" w:hAnsi="Palatino Linotype"/>
          <w:b/>
          <w:i/>
          <w:sz w:val="20"/>
          <w:szCs w:val="20"/>
          <w:u w:val="single"/>
        </w:rPr>
        <w:t>Promulgar y publicar</w:t>
      </w:r>
      <w:r w:rsidRPr="005875CE">
        <w:rPr>
          <w:rFonts w:ascii="Palatino Linotype" w:hAnsi="Palatino Linotype"/>
          <w:i/>
          <w:sz w:val="20"/>
          <w:szCs w:val="20"/>
        </w:rPr>
        <w:t xml:space="preserve"> el Bando Municipal en la Gaceta Municipal y en los estrados de la Secretaría del Ayuntamiento, </w:t>
      </w:r>
      <w:r w:rsidRPr="005875CE">
        <w:rPr>
          <w:rFonts w:ascii="Palatino Linotype" w:hAnsi="Palatino Linotype"/>
          <w:b/>
          <w:i/>
          <w:sz w:val="20"/>
          <w:szCs w:val="20"/>
          <w:u w:val="single"/>
        </w:rPr>
        <w:t>así como ordenar la difusión de las normas de carácter general y reglamentos aprobados por el Ayuntamiento</w:t>
      </w: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Artículo 91.-</w:t>
      </w:r>
      <w:r w:rsidRPr="005875CE">
        <w:rPr>
          <w:rFonts w:ascii="Palatino Linotype" w:hAnsi="Palatino Linotype"/>
          <w:i/>
          <w:sz w:val="20"/>
          <w:szCs w:val="20"/>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VIII.</w:t>
      </w:r>
      <w:r w:rsidRPr="005875CE">
        <w:rPr>
          <w:rFonts w:ascii="Palatino Linotype" w:hAnsi="Palatino Linotype"/>
          <w:i/>
          <w:sz w:val="20"/>
          <w:szCs w:val="20"/>
        </w:rPr>
        <w:t xml:space="preserve"> </w:t>
      </w:r>
      <w:r w:rsidRPr="005875CE">
        <w:rPr>
          <w:rFonts w:ascii="Palatino Linotype" w:hAnsi="Palatino Linotype"/>
          <w:b/>
          <w:i/>
          <w:sz w:val="20"/>
          <w:szCs w:val="20"/>
          <w:u w:val="single"/>
        </w:rPr>
        <w:t>Publicar los reglamentos</w:t>
      </w:r>
      <w:r w:rsidRPr="005875CE">
        <w:rPr>
          <w:rFonts w:ascii="Palatino Linotype" w:hAnsi="Palatino Linotype"/>
          <w:i/>
          <w:sz w:val="20"/>
          <w:szCs w:val="20"/>
        </w:rPr>
        <w:t xml:space="preserve">, circulares y demás disposiciones </w:t>
      </w:r>
      <w:r w:rsidRPr="005875CE">
        <w:rPr>
          <w:rFonts w:ascii="Palatino Linotype" w:hAnsi="Palatino Linotype"/>
          <w:b/>
          <w:i/>
          <w:sz w:val="20"/>
          <w:szCs w:val="20"/>
          <w:u w:val="single"/>
        </w:rPr>
        <w:t>muni</w:t>
      </w:r>
      <w:r w:rsidRPr="005875CE">
        <w:rPr>
          <w:rFonts w:ascii="Palatino Linotype" w:hAnsi="Palatino Linotype"/>
          <w:b/>
          <w:i/>
          <w:sz w:val="20"/>
          <w:szCs w:val="20"/>
          <w:u w:val="single"/>
        </w:rPr>
        <w:t>cipales de observancia general</w:t>
      </w:r>
      <w:r w:rsidRPr="005875CE">
        <w:rPr>
          <w:rFonts w:ascii="Palatino Linotype" w:hAnsi="Palatino Linotype"/>
          <w:i/>
          <w:sz w:val="20"/>
          <w:szCs w:val="20"/>
        </w:rPr>
        <w:t>;</w:t>
      </w:r>
    </w:p>
    <w:p w:rsidR="005875CE" w:rsidRP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b/>
          <w:i/>
          <w:sz w:val="20"/>
          <w:szCs w:val="20"/>
        </w:rPr>
        <w:t>IX.</w:t>
      </w:r>
      <w:r w:rsidRPr="005875CE">
        <w:rPr>
          <w:rFonts w:ascii="Palatino Linotype" w:hAnsi="Palatino Linotype"/>
          <w:i/>
          <w:sz w:val="20"/>
          <w:szCs w:val="20"/>
        </w:rPr>
        <w:t xml:space="preserve"> Compilar leyes, decretos, reglamentos, periódicos oficiales del estado, circulares y órdenes relativas a los distintos sectores de la administración pública municipal;</w:t>
      </w:r>
    </w:p>
    <w:p w:rsidR="005875CE" w:rsidRDefault="005875CE" w:rsidP="005875CE">
      <w:pPr>
        <w:spacing w:after="0" w:line="240" w:lineRule="auto"/>
        <w:ind w:left="851" w:right="851"/>
        <w:jc w:val="both"/>
        <w:rPr>
          <w:rFonts w:ascii="Palatino Linotype" w:hAnsi="Palatino Linotype"/>
          <w:i/>
          <w:sz w:val="20"/>
          <w:szCs w:val="20"/>
        </w:rPr>
      </w:pPr>
      <w:r w:rsidRPr="005875CE">
        <w:rPr>
          <w:rFonts w:ascii="Palatino Linotype" w:hAnsi="Palatino Linotype"/>
          <w:i/>
          <w:sz w:val="20"/>
          <w:szCs w:val="20"/>
        </w:rPr>
        <w:t>…</w:t>
      </w:r>
    </w:p>
    <w:p w:rsidR="009539C8" w:rsidRDefault="009539C8" w:rsidP="005875CE">
      <w:pPr>
        <w:spacing w:after="0" w:line="240" w:lineRule="auto"/>
        <w:ind w:left="851" w:right="851"/>
        <w:jc w:val="both"/>
        <w:rPr>
          <w:rFonts w:ascii="Palatino Linotype" w:hAnsi="Palatino Linotype"/>
          <w:i/>
          <w:sz w:val="20"/>
          <w:szCs w:val="20"/>
        </w:rPr>
      </w:pPr>
    </w:p>
    <w:p w:rsidR="009539C8" w:rsidRDefault="009539C8" w:rsidP="005875CE">
      <w:pPr>
        <w:spacing w:after="0" w:line="240" w:lineRule="auto"/>
        <w:ind w:left="851" w:right="851"/>
        <w:jc w:val="both"/>
        <w:rPr>
          <w:rFonts w:ascii="Palatino Linotype" w:hAnsi="Palatino Linotype"/>
          <w:i/>
          <w:sz w:val="20"/>
          <w:szCs w:val="20"/>
        </w:rPr>
      </w:pPr>
      <w:r>
        <w:rPr>
          <w:rFonts w:ascii="Palatino Linotype" w:hAnsi="Palatino Linotype"/>
          <w:i/>
          <w:sz w:val="20"/>
          <w:szCs w:val="20"/>
        </w:rPr>
        <w:t>Énfasis añadido.</w:t>
      </w:r>
    </w:p>
    <w:p w:rsidR="009539C8" w:rsidRPr="005875CE" w:rsidRDefault="009539C8" w:rsidP="005875CE">
      <w:pPr>
        <w:spacing w:after="0" w:line="240" w:lineRule="auto"/>
        <w:ind w:left="851" w:right="851"/>
        <w:jc w:val="both"/>
        <w:rPr>
          <w:rFonts w:ascii="Palatino Linotype" w:hAnsi="Palatino Linotype"/>
          <w:i/>
          <w:sz w:val="20"/>
          <w:szCs w:val="20"/>
        </w:rPr>
      </w:pPr>
    </w:p>
    <w:p w:rsidR="009539C8" w:rsidRDefault="005875CE" w:rsidP="009539C8">
      <w:pPr>
        <w:spacing w:before="120" w:line="360" w:lineRule="auto"/>
        <w:jc w:val="both"/>
        <w:rPr>
          <w:rFonts w:ascii="Palatino Linotype" w:hAnsi="Palatino Linotype"/>
          <w:sz w:val="24"/>
          <w:szCs w:val="24"/>
        </w:rPr>
      </w:pPr>
      <w:r>
        <w:rPr>
          <w:rFonts w:ascii="Palatino Linotype" w:hAnsi="Palatino Linotype"/>
          <w:sz w:val="24"/>
          <w:szCs w:val="24"/>
        </w:rPr>
        <w:t>De los dispositivos legales se advierte que el Sujeto Obligado está facultado para generar, administrar y poseer la información m</w:t>
      </w:r>
      <w:r w:rsidR="009539C8">
        <w:rPr>
          <w:rFonts w:ascii="Palatino Linotype" w:hAnsi="Palatino Linotype"/>
          <w:sz w:val="24"/>
          <w:szCs w:val="24"/>
        </w:rPr>
        <w:t xml:space="preserve">ateria del presente asunto, sin </w:t>
      </w:r>
      <w:r>
        <w:rPr>
          <w:rFonts w:ascii="Palatino Linotype" w:hAnsi="Palatino Linotype"/>
          <w:sz w:val="24"/>
          <w:szCs w:val="24"/>
        </w:rPr>
        <w:t>embargo también cierto lo es que la Ley Orgánica Municipal, ni el Bando Municipal vigente establecen de manera expresa una fecha cierta para la expedici</w:t>
      </w:r>
      <w:r w:rsidR="009539C8">
        <w:rPr>
          <w:rFonts w:ascii="Palatino Linotype" w:hAnsi="Palatino Linotype"/>
          <w:sz w:val="24"/>
          <w:szCs w:val="24"/>
        </w:rPr>
        <w:t>ón de los Reg</w:t>
      </w:r>
      <w:r>
        <w:rPr>
          <w:rFonts w:ascii="Palatino Linotype" w:hAnsi="Palatino Linotype"/>
          <w:sz w:val="24"/>
          <w:szCs w:val="24"/>
        </w:rPr>
        <w:t>lamentos</w:t>
      </w:r>
      <w:r w:rsidR="009539C8">
        <w:rPr>
          <w:rFonts w:ascii="Palatino Linotype" w:hAnsi="Palatino Linotype"/>
          <w:sz w:val="24"/>
          <w:szCs w:val="24"/>
        </w:rPr>
        <w:t>, en este sentido es de mencionar que si bien en el artículo 64 se hace mención al reglamento cuya entrega se ordena a través del inciso a) en el resolutivo segundo, sin embargo en el presente asunto no quedó demostrada su existencia, o que existía una fecha cierta o periodo de tiempo definido para que el Sujeto Obligado lo generara, empero tal circunstancia no sucedió, razón por la cual no se comparte que para el inciso a) se hubiese dejado la salvedad consistente en la emisión del Acuerdo de Declaratoria de Inexistencia.</w:t>
      </w:r>
    </w:p>
    <w:p w:rsidR="009539C8" w:rsidRPr="00375044" w:rsidRDefault="009539C8" w:rsidP="009539C8">
      <w:pPr>
        <w:spacing w:before="120" w:line="360" w:lineRule="auto"/>
        <w:jc w:val="both"/>
        <w:rPr>
          <w:rFonts w:ascii="Palatino Linotype" w:hAnsi="Palatino Linotype"/>
          <w:sz w:val="24"/>
          <w:szCs w:val="24"/>
        </w:rPr>
      </w:pPr>
      <w:r>
        <w:rPr>
          <w:rFonts w:ascii="Palatino Linotype" w:hAnsi="Palatino Linotype"/>
          <w:sz w:val="24"/>
          <w:szCs w:val="24"/>
        </w:rPr>
        <w:lastRenderedPageBreak/>
        <w:t xml:space="preserve">Al respecto debe mencionarse que </w:t>
      </w:r>
      <w:r w:rsidRPr="00375044">
        <w:rPr>
          <w:rFonts w:ascii="Palatino Linotype" w:hAnsi="Palatino Linotype"/>
          <w:sz w:val="24"/>
          <w:szCs w:val="24"/>
        </w:rPr>
        <w:t>la Ley</w:t>
      </w:r>
      <w:r>
        <w:rPr>
          <w:rFonts w:ascii="Palatino Linotype" w:hAnsi="Palatino Linotype"/>
          <w:sz w:val="24"/>
          <w:szCs w:val="24"/>
        </w:rPr>
        <w:t xml:space="preserve"> de Transparencia vigente en la entidad federativa</w:t>
      </w:r>
      <w:r w:rsidRPr="00375044">
        <w:rPr>
          <w:rFonts w:ascii="Palatino Linotype" w:hAnsi="Palatino Linotype"/>
          <w:sz w:val="24"/>
          <w:szCs w:val="24"/>
        </w:rPr>
        <w:t xml:space="preserve"> determina que se deberá elaborar una declaratoria de inexistencia, tal y como se prevé en los artículos 19, tercer párrafo, 49, fracciones II y XIII</w:t>
      </w:r>
      <w:r w:rsidRPr="00375044">
        <w:rPr>
          <w:rFonts w:ascii="Palatino Linotype" w:hAnsi="Palatino Linotype"/>
          <w:sz w:val="24"/>
          <w:szCs w:val="24"/>
        </w:rPr>
        <w:t>; 169</w:t>
      </w:r>
      <w:r w:rsidRPr="00375044">
        <w:rPr>
          <w:rFonts w:ascii="Palatino Linotype" w:hAnsi="Palatino Linotype"/>
          <w:sz w:val="24"/>
          <w:szCs w:val="24"/>
        </w:rPr>
        <w:t xml:space="preserve"> y 170 de la Ley de Transparencia y Acceso a la Información Pública supraindicada, que ordenan: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w:t>
      </w:r>
      <w:r w:rsidRPr="009539C8">
        <w:rPr>
          <w:rFonts w:ascii="Palatino Linotype" w:hAnsi="Palatino Linotype"/>
          <w:b/>
          <w:i/>
          <w:sz w:val="21"/>
          <w:szCs w:val="21"/>
        </w:rPr>
        <w:t>Artículo 19.</w:t>
      </w:r>
      <w:r w:rsidRPr="009539C8">
        <w:rPr>
          <w:rFonts w:ascii="Palatino Linotype" w:hAnsi="Palatino Linotype"/>
          <w:i/>
          <w:sz w:val="21"/>
          <w:szCs w:val="21"/>
        </w:rPr>
        <w:t xml:space="preserve">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Si el sujeto obligado, en el ejercicio de sus atribuciones, debía generar, poseer o administrar la información, pero ésta no se encuentra, el Comité de transparencia deberá emitir un acuerdo de inexistencia</w:t>
      </w:r>
      <w:r w:rsidRPr="009539C8">
        <w:rPr>
          <w:rFonts w:ascii="Palatino Linotype" w:hAnsi="Palatino Linotype"/>
          <w:i/>
          <w:sz w:val="21"/>
          <w:szCs w:val="21"/>
        </w:rPr>
        <w:t>, debidamente fundado y motivado, en el que detalle las razones del por qué no obra en sus archivos.”</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w:t>
      </w:r>
      <w:r w:rsidRPr="009539C8">
        <w:rPr>
          <w:rFonts w:ascii="Palatino Linotype" w:hAnsi="Palatino Linotype"/>
          <w:b/>
          <w:i/>
          <w:sz w:val="21"/>
          <w:szCs w:val="21"/>
        </w:rPr>
        <w:t>Artículo 49.</w:t>
      </w:r>
      <w:r w:rsidRPr="009539C8">
        <w:rPr>
          <w:rFonts w:ascii="Palatino Linotype" w:hAnsi="Palatino Linotype"/>
          <w:i/>
          <w:sz w:val="21"/>
          <w:szCs w:val="21"/>
        </w:rPr>
        <w:t xml:space="preserve"> </w:t>
      </w:r>
      <w:r w:rsidRPr="009539C8">
        <w:rPr>
          <w:rFonts w:ascii="Palatino Linotype" w:hAnsi="Palatino Linotype"/>
          <w:b/>
          <w:i/>
          <w:sz w:val="21"/>
          <w:szCs w:val="21"/>
        </w:rPr>
        <w:t>Los Comités de Transparencia</w:t>
      </w:r>
      <w:r w:rsidRPr="009539C8">
        <w:rPr>
          <w:rFonts w:ascii="Palatino Linotype" w:hAnsi="Palatino Linotype"/>
          <w:i/>
          <w:sz w:val="21"/>
          <w:szCs w:val="21"/>
        </w:rPr>
        <w:t xml:space="preserve"> tendrán las siguientes </w:t>
      </w:r>
      <w:r w:rsidRPr="009539C8">
        <w:rPr>
          <w:rFonts w:ascii="Palatino Linotype" w:hAnsi="Palatino Linotype"/>
          <w:b/>
          <w:i/>
          <w:sz w:val="21"/>
          <w:szCs w:val="21"/>
        </w:rPr>
        <w:t>atribuciones</w:t>
      </w:r>
      <w:r w:rsidRPr="009539C8">
        <w:rPr>
          <w:rFonts w:ascii="Palatino Linotype" w:hAnsi="Palatino Linotype"/>
          <w:i/>
          <w:sz w:val="21"/>
          <w:szCs w:val="21"/>
        </w:rPr>
        <w:t>:</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II.</w:t>
      </w:r>
      <w:r w:rsidRPr="009539C8">
        <w:rPr>
          <w:rFonts w:ascii="Palatino Linotype" w:hAnsi="Palatino Linotype"/>
          <w:i/>
          <w:sz w:val="21"/>
          <w:szCs w:val="21"/>
        </w:rPr>
        <w:t xml:space="preserve"> </w:t>
      </w:r>
      <w:r w:rsidRPr="009539C8">
        <w:rPr>
          <w:rFonts w:ascii="Palatino Linotype" w:hAnsi="Palatino Linotype"/>
          <w:b/>
          <w:i/>
          <w:sz w:val="21"/>
          <w:szCs w:val="21"/>
        </w:rPr>
        <w:t>Confirmar, modificar o revocar las determinaciones que en materia de</w:t>
      </w:r>
      <w:r w:rsidRPr="009539C8">
        <w:rPr>
          <w:rFonts w:ascii="Palatino Linotype" w:hAnsi="Palatino Linotype"/>
          <w:i/>
          <w:sz w:val="21"/>
          <w:szCs w:val="21"/>
        </w:rPr>
        <w:t xml:space="preserve"> ampliación del plazo de respuesta, clasificación de la información y </w:t>
      </w:r>
      <w:r w:rsidRPr="009539C8">
        <w:rPr>
          <w:rFonts w:ascii="Palatino Linotype" w:hAnsi="Palatino Linotype"/>
          <w:b/>
          <w:i/>
          <w:sz w:val="21"/>
          <w:szCs w:val="21"/>
        </w:rPr>
        <w:t>declaración de inexistencia</w:t>
      </w:r>
      <w:r w:rsidRPr="009539C8">
        <w:rPr>
          <w:rFonts w:ascii="Palatino Linotype" w:hAnsi="Palatino Linotype"/>
          <w:i/>
          <w:sz w:val="21"/>
          <w:szCs w:val="21"/>
        </w:rPr>
        <w:t xml:space="preserve"> o de incompetencia realicen los titulares de las áreas de los sujetos obligados;</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XIII</w:t>
      </w:r>
      <w:r w:rsidRPr="009539C8">
        <w:rPr>
          <w:rFonts w:ascii="Palatino Linotype" w:hAnsi="Palatino Linotype"/>
          <w:i/>
          <w:sz w:val="21"/>
          <w:szCs w:val="21"/>
        </w:rPr>
        <w:t xml:space="preserve">. </w:t>
      </w:r>
      <w:r w:rsidRPr="009539C8">
        <w:rPr>
          <w:rFonts w:ascii="Palatino Linotype" w:hAnsi="Palatino Linotype"/>
          <w:b/>
          <w:i/>
          <w:sz w:val="21"/>
          <w:szCs w:val="21"/>
        </w:rPr>
        <w:t>Dictaminar las declaratorias de inexistencia de la información</w:t>
      </w:r>
      <w:r w:rsidRPr="009539C8">
        <w:rPr>
          <w:rFonts w:ascii="Palatino Linotype" w:hAnsi="Palatino Linotype"/>
          <w:i/>
          <w:sz w:val="21"/>
          <w:szCs w:val="21"/>
        </w:rPr>
        <w:t xml:space="preserve"> que les remitan las unidades administrativas y resolver en consecuencia…”</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w:t>
      </w:r>
      <w:r w:rsidRPr="009539C8">
        <w:rPr>
          <w:rFonts w:ascii="Palatino Linotype" w:hAnsi="Palatino Linotype"/>
          <w:b/>
          <w:i/>
          <w:sz w:val="21"/>
          <w:szCs w:val="21"/>
        </w:rPr>
        <w:t>Artículo 169</w:t>
      </w:r>
      <w:r w:rsidRPr="009539C8">
        <w:rPr>
          <w:rFonts w:ascii="Palatino Linotype" w:hAnsi="Palatino Linotype"/>
          <w:i/>
          <w:sz w:val="21"/>
          <w:szCs w:val="21"/>
        </w:rPr>
        <w:t xml:space="preserve">. </w:t>
      </w:r>
      <w:r w:rsidRPr="009539C8">
        <w:rPr>
          <w:rFonts w:ascii="Palatino Linotype" w:hAnsi="Palatino Linotype"/>
          <w:b/>
          <w:i/>
          <w:sz w:val="21"/>
          <w:szCs w:val="21"/>
        </w:rPr>
        <w:t>Cuando la información no se encuentre en los archivos del sujeto obligado, el Comité de Transparencia</w:t>
      </w:r>
      <w:r w:rsidRPr="009539C8">
        <w:rPr>
          <w:rFonts w:ascii="Palatino Linotype" w:hAnsi="Palatino Linotype"/>
          <w:i/>
          <w:sz w:val="21"/>
          <w:szCs w:val="21"/>
        </w:rPr>
        <w:t xml:space="preserve">: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I.</w:t>
      </w:r>
      <w:r w:rsidRPr="009539C8">
        <w:rPr>
          <w:rFonts w:ascii="Palatino Linotype" w:hAnsi="Palatino Linotype"/>
          <w:i/>
          <w:sz w:val="21"/>
          <w:szCs w:val="21"/>
        </w:rPr>
        <w:t xml:space="preserve"> Analizará el caso y tomará las medidas necesarias para localizar la información;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II.</w:t>
      </w:r>
      <w:r w:rsidRPr="009539C8">
        <w:rPr>
          <w:rFonts w:ascii="Palatino Linotype" w:hAnsi="Palatino Linotype"/>
          <w:i/>
          <w:sz w:val="21"/>
          <w:szCs w:val="21"/>
        </w:rPr>
        <w:t xml:space="preserve"> </w:t>
      </w:r>
      <w:r w:rsidRPr="009539C8">
        <w:rPr>
          <w:rFonts w:ascii="Palatino Linotype" w:hAnsi="Palatino Linotype"/>
          <w:b/>
          <w:i/>
          <w:sz w:val="21"/>
          <w:szCs w:val="21"/>
        </w:rPr>
        <w:t>Expedirá una resolución que confirme la inexistencia del documento</w:t>
      </w:r>
      <w:r w:rsidRPr="009539C8">
        <w:rPr>
          <w:rFonts w:ascii="Palatino Linotype" w:hAnsi="Palatino Linotype"/>
          <w:i/>
          <w:sz w:val="21"/>
          <w:szCs w:val="21"/>
        </w:rPr>
        <w:t xml:space="preserve">;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III</w:t>
      </w:r>
      <w:r w:rsidRPr="009539C8">
        <w:rPr>
          <w:rFonts w:ascii="Palatino Linotype" w:hAnsi="Palatino Linotype"/>
          <w:i/>
          <w:sz w:val="21"/>
          <w:szCs w:val="21"/>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b/>
          <w:i/>
          <w:sz w:val="21"/>
          <w:szCs w:val="21"/>
        </w:rPr>
        <w:t>IV</w:t>
      </w:r>
      <w:r w:rsidRPr="009539C8">
        <w:rPr>
          <w:rFonts w:ascii="Palatino Linotype" w:hAnsi="Palatino Linotype"/>
          <w:i/>
          <w:sz w:val="21"/>
          <w:szCs w:val="21"/>
        </w:rPr>
        <w:t xml:space="preserve">. Notificará al órgano interno de control o equivalente del sujeto obligado quien, en su caso, deberá iniciar el procedimiento de responsabilidad administrativa que corresponda.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lastRenderedPageBreak/>
        <w:t xml:space="preserve">La Unidad de Transparencia deberá notificarlo al solicitante por escrito, en un plazo que no exceda de quince días hábiles contados a partir del día siguiente a la presentación de la solicitud. </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Este plazo podrá ampliarse hasta por otros siete días hábiles, siempre que existan razones para ello, debiendo notificarse por escrito al solicitante.”</w:t>
      </w: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w:t>
      </w:r>
      <w:r w:rsidRPr="009539C8">
        <w:rPr>
          <w:rFonts w:ascii="Palatino Linotype" w:hAnsi="Palatino Linotype"/>
          <w:b/>
          <w:i/>
          <w:sz w:val="21"/>
          <w:szCs w:val="21"/>
        </w:rPr>
        <w:t>Artículo 170.</w:t>
      </w:r>
      <w:r w:rsidRPr="009539C8">
        <w:rPr>
          <w:rFonts w:ascii="Palatino Linotype" w:hAnsi="Palatino Linotype"/>
          <w:i/>
          <w:sz w:val="21"/>
          <w:szCs w:val="21"/>
        </w:rPr>
        <w:t xml:space="preserve"> </w:t>
      </w:r>
      <w:r w:rsidRPr="009539C8">
        <w:rPr>
          <w:rFonts w:ascii="Palatino Linotype" w:hAnsi="Palatino Linotype"/>
          <w:b/>
          <w:i/>
          <w:sz w:val="21"/>
          <w:szCs w:val="21"/>
        </w:rPr>
        <w:t>La resolución del Comité de Transparencia que confirme la inexistencia de la información solicitada contendrá los elementos mínimos</w:t>
      </w:r>
      <w:r w:rsidRPr="009539C8">
        <w:rPr>
          <w:rFonts w:ascii="Palatino Linotype" w:hAnsi="Palatino Linotype"/>
          <w:i/>
          <w:sz w:val="21"/>
          <w:szCs w:val="21"/>
        </w:rPr>
        <w:t xml:space="preserve"> </w:t>
      </w:r>
      <w:r w:rsidRPr="009539C8">
        <w:rPr>
          <w:rFonts w:ascii="Palatino Linotype" w:hAnsi="Palatino Linotype"/>
          <w:b/>
          <w:i/>
          <w:sz w:val="21"/>
          <w:szCs w:val="21"/>
        </w:rPr>
        <w:t>que permitan al solicitante tener la certeza de que se utilizó un criterio de búsqueda exhaustivo</w:t>
      </w:r>
      <w:r w:rsidRPr="009539C8">
        <w:rPr>
          <w:rFonts w:ascii="Palatino Linotype" w:hAnsi="Palatino Linotype"/>
          <w:i/>
          <w:sz w:val="21"/>
          <w:szCs w:val="21"/>
        </w:rPr>
        <w:t>, además de señalar las circunstancias de tiempo, modo y lugar que generaron la existencia en cuestión y señalará al servidor público responsable de contar con la misma.”</w:t>
      </w:r>
    </w:p>
    <w:p w:rsidR="009539C8" w:rsidRPr="009539C8" w:rsidRDefault="009539C8" w:rsidP="009539C8">
      <w:pPr>
        <w:spacing w:after="0" w:line="240" w:lineRule="auto"/>
        <w:ind w:left="794" w:right="851"/>
        <w:jc w:val="both"/>
        <w:rPr>
          <w:rFonts w:ascii="Palatino Linotype" w:hAnsi="Palatino Linotype"/>
          <w:i/>
          <w:sz w:val="21"/>
          <w:szCs w:val="21"/>
        </w:rPr>
      </w:pPr>
    </w:p>
    <w:p w:rsidR="009539C8" w:rsidRPr="009539C8" w:rsidRDefault="009539C8" w:rsidP="009539C8">
      <w:pPr>
        <w:spacing w:after="0" w:line="240" w:lineRule="auto"/>
        <w:ind w:left="794" w:right="851"/>
        <w:jc w:val="both"/>
        <w:rPr>
          <w:rFonts w:ascii="Palatino Linotype" w:hAnsi="Palatino Linotype"/>
          <w:i/>
          <w:sz w:val="21"/>
          <w:szCs w:val="21"/>
        </w:rPr>
      </w:pPr>
      <w:r w:rsidRPr="009539C8">
        <w:rPr>
          <w:rFonts w:ascii="Palatino Linotype" w:hAnsi="Palatino Linotype"/>
          <w:i/>
          <w:sz w:val="21"/>
          <w:szCs w:val="21"/>
        </w:rPr>
        <w:t>Énfasis añadido</w:t>
      </w:r>
    </w:p>
    <w:p w:rsidR="009539C8" w:rsidRDefault="009539C8" w:rsidP="009539C8">
      <w:pPr>
        <w:spacing w:before="240" w:after="240" w:line="360" w:lineRule="auto"/>
        <w:jc w:val="both"/>
        <w:rPr>
          <w:rFonts w:ascii="Palatino Linotype" w:hAnsi="Palatino Linotype"/>
          <w:sz w:val="24"/>
          <w:szCs w:val="24"/>
        </w:rPr>
      </w:pPr>
    </w:p>
    <w:p w:rsidR="009539C8" w:rsidRDefault="009539C8" w:rsidP="009539C8">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Pr>
          <w:rFonts w:ascii="Palatino Linotype" w:hAnsi="Palatino Linotype"/>
          <w:sz w:val="24"/>
          <w:szCs w:val="24"/>
        </w:rPr>
        <w:t>,</w:t>
      </w:r>
      <w:r w:rsidRPr="00FC6983">
        <w:rPr>
          <w:rFonts w:ascii="Palatino Linotype" w:hAnsi="Palatino Linotype"/>
          <w:sz w:val="24"/>
          <w:szCs w:val="24"/>
        </w:rPr>
        <w:t xml:space="preserve"> n</w:t>
      </w:r>
      <w:r>
        <w:rPr>
          <w:rFonts w:ascii="Palatino Linotype" w:hAnsi="Palatino Linotype"/>
          <w:sz w:val="24"/>
          <w:szCs w:val="24"/>
        </w:rPr>
        <w:t>o se estima correcto contemplar</w:t>
      </w:r>
      <w:r w:rsidRPr="00FC6983">
        <w:rPr>
          <w:rFonts w:ascii="Palatino Linotype" w:hAnsi="Palatino Linotype"/>
          <w:sz w:val="24"/>
          <w:szCs w:val="24"/>
        </w:rPr>
        <w:t xml:space="preserve"> la declaratoria de inexistencia como una opción en el resolutivo de la resolución, </w:t>
      </w:r>
      <w:r>
        <w:rPr>
          <w:rFonts w:ascii="Palatino Linotype" w:hAnsi="Palatino Linotype"/>
          <w:sz w:val="24"/>
          <w:szCs w:val="24"/>
        </w:rPr>
        <w:t>ello</w:t>
      </w:r>
      <w:r w:rsidRPr="00FC6983">
        <w:rPr>
          <w:rFonts w:ascii="Palatino Linotype" w:hAnsi="Palatino Linotype"/>
          <w:sz w:val="24"/>
          <w:szCs w:val="24"/>
        </w:rPr>
        <w:t xml:space="preserve">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w:t>
      </w:r>
      <w:r>
        <w:rPr>
          <w:rFonts w:ascii="Palatino Linotype" w:hAnsi="Palatino Linotype"/>
          <w:sz w:val="24"/>
          <w:szCs w:val="24"/>
        </w:rPr>
        <w:t xml:space="preserve">los siguientes </w:t>
      </w:r>
      <w:r w:rsidRPr="00FC6983">
        <w:rPr>
          <w:rFonts w:ascii="Palatino Linotype" w:hAnsi="Palatino Linotype"/>
          <w:sz w:val="24"/>
          <w:szCs w:val="24"/>
        </w:rPr>
        <w:t>supuestos:</w:t>
      </w:r>
    </w:p>
    <w:p w:rsidR="009539C8" w:rsidRPr="009539C8" w:rsidRDefault="009539C8" w:rsidP="009539C8">
      <w:pPr>
        <w:pStyle w:val="Prrafodelista"/>
        <w:numPr>
          <w:ilvl w:val="0"/>
          <w:numId w:val="2"/>
        </w:numPr>
        <w:spacing w:before="240" w:after="240"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t>L</w:t>
      </w:r>
      <w:r w:rsidRPr="009539C8">
        <w:rPr>
          <w:rFonts w:ascii="Palatino Linotype" w:hAnsi="Palatino Linotype"/>
          <w:sz w:val="24"/>
          <w:szCs w:val="24"/>
        </w:rPr>
        <w:t>a existencia previa de la documentación y la falta posterior de la misma en los archivos del Sujeto Obligado, en otras palabras que la información se generó, administró o poseyó en el marco de sus atribuciones, pero no la conserva por distintas razones, como pudieran ser la destrucción o desaparición física, sustracción ilícita, b</w:t>
      </w:r>
      <w:r>
        <w:rPr>
          <w:rFonts w:ascii="Palatino Linotype" w:hAnsi="Palatino Linotype"/>
          <w:sz w:val="24"/>
          <w:szCs w:val="24"/>
        </w:rPr>
        <w:t>aja documental o cualquier otra.</w:t>
      </w:r>
    </w:p>
    <w:p w:rsidR="009539C8" w:rsidRPr="009539C8" w:rsidRDefault="009539C8" w:rsidP="009539C8">
      <w:pPr>
        <w:pStyle w:val="Prrafodelista"/>
        <w:numPr>
          <w:ilvl w:val="0"/>
          <w:numId w:val="2"/>
        </w:numPr>
        <w:spacing w:before="240" w:after="240" w:line="360" w:lineRule="auto"/>
        <w:jc w:val="both"/>
        <w:rPr>
          <w:rFonts w:ascii="Palatino Linotype" w:eastAsia="MS Mincho" w:hAnsi="Palatino Linotype" w:cs="Times New Roman"/>
          <w:sz w:val="24"/>
          <w:szCs w:val="24"/>
          <w:lang w:val="es-ES_tradnl" w:eastAsia="es-ES"/>
        </w:rPr>
      </w:pPr>
      <w:r>
        <w:rPr>
          <w:rFonts w:ascii="Palatino Linotype" w:hAnsi="Palatino Linotype"/>
          <w:sz w:val="24"/>
          <w:szCs w:val="24"/>
        </w:rPr>
        <w:lastRenderedPageBreak/>
        <w:t>Q</w:t>
      </w:r>
      <w:r w:rsidRPr="009539C8">
        <w:rPr>
          <w:rFonts w:ascii="Palatino Linotype" w:hAnsi="Palatino Linotype"/>
          <w:sz w:val="24"/>
          <w:szCs w:val="24"/>
        </w:rPr>
        <w:t xml:space="preserve">ue el Sujeto Obligado debió generar, poseer o administrar la información, pero en incumplimiento a la norma no lo realizó, tal como lo establece el criterio supraindicado, el cual </w:t>
      </w:r>
      <w:r w:rsidRPr="009539C8">
        <w:rPr>
          <w:rFonts w:ascii="Palatino Linotype" w:eastAsia="MS Mincho" w:hAnsi="Palatino Linotype" w:cs="Arial"/>
          <w:sz w:val="24"/>
          <w:szCs w:val="24"/>
          <w:lang w:val="es-ES_tradnl" w:eastAsia="es-ES"/>
        </w:rPr>
        <w:t>demuestran claramente el concepto de inexistencia y en qué circunstancias debe emitirse la declaratoria respectiva, como se transcribe a continuación:</w:t>
      </w:r>
    </w:p>
    <w:p w:rsidR="009539C8" w:rsidRPr="00D95F46" w:rsidRDefault="009539C8" w:rsidP="009539C8">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INEXISTENCIA, CON</w:t>
      </w:r>
      <w:bookmarkStart w:id="0" w:name="_GoBack"/>
      <w:bookmarkEnd w:id="0"/>
      <w:r w:rsidRPr="00D95F46">
        <w:rPr>
          <w:rFonts w:ascii="Palatino Linotype" w:hAnsi="Palatino Linotype"/>
          <w:b/>
          <w:i/>
        </w:rPr>
        <w:t>CEPTO DE, EN MATERIA DE TRANSPARENCIA</w:t>
      </w:r>
      <w:r w:rsidRPr="00D95F46">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95F46">
        <w:rPr>
          <w:rFonts w:ascii="Palatino Linotype" w:hAnsi="Palatino Linotype"/>
          <w:b/>
          <w:i/>
        </w:rPr>
        <w:t>supuestos:</w:t>
      </w:r>
      <w:r w:rsidRPr="00D95F46">
        <w:rPr>
          <w:rFonts w:ascii="Palatino Linotype" w:hAnsi="Palatino Linotype"/>
          <w:i/>
        </w:rPr>
        <w:t xml:space="preserve"> </w:t>
      </w:r>
    </w:p>
    <w:p w:rsidR="009539C8" w:rsidRPr="00D95F46" w:rsidRDefault="009539C8" w:rsidP="009539C8">
      <w:pPr>
        <w:numPr>
          <w:ilvl w:val="0"/>
          <w:numId w:val="1"/>
        </w:numPr>
        <w:spacing w:after="0" w:line="240" w:lineRule="auto"/>
        <w:ind w:left="567" w:right="561"/>
        <w:jc w:val="both"/>
        <w:rPr>
          <w:rFonts w:ascii="Palatino Linotype" w:hAnsi="Palatino Linotype"/>
          <w:b/>
          <w:i/>
        </w:rPr>
      </w:pPr>
      <w:r w:rsidRPr="00D95F46">
        <w:rPr>
          <w:rFonts w:ascii="Palatino Linotype" w:hAnsi="Palatino Linotype"/>
          <w:b/>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9539C8" w:rsidRPr="00D95F46" w:rsidRDefault="009539C8" w:rsidP="009539C8">
      <w:pPr>
        <w:numPr>
          <w:ilvl w:val="0"/>
          <w:numId w:val="1"/>
        </w:numPr>
        <w:spacing w:after="0" w:line="240" w:lineRule="auto"/>
        <w:ind w:left="567" w:right="561"/>
        <w:jc w:val="both"/>
        <w:rPr>
          <w:rFonts w:ascii="Palatino Linotype" w:hAnsi="Palatino Linotype"/>
          <w:i/>
        </w:rPr>
      </w:pPr>
      <w:r w:rsidRPr="00D95F46">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ninguna de esas acciones. </w:t>
      </w:r>
    </w:p>
    <w:p w:rsidR="009539C8" w:rsidRPr="00D95F46" w:rsidRDefault="009539C8" w:rsidP="009539C8">
      <w:pPr>
        <w:spacing w:after="0" w:line="240" w:lineRule="auto"/>
        <w:ind w:left="567" w:right="561"/>
        <w:jc w:val="both"/>
        <w:rPr>
          <w:rFonts w:ascii="Palatino Linotype" w:hAnsi="Palatino Linotype"/>
          <w:i/>
        </w:rPr>
      </w:pPr>
      <w:r w:rsidRPr="00D95F46">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75CDD" w:rsidRDefault="009D7C69" w:rsidP="009539C8">
      <w:pPr>
        <w:spacing w:before="240" w:after="240" w:line="360" w:lineRule="auto"/>
        <w:jc w:val="both"/>
        <w:rPr>
          <w:rFonts w:ascii="Palatino Linotype" w:hAnsi="Palatino Linotype"/>
          <w:iCs/>
          <w:sz w:val="24"/>
          <w:szCs w:val="24"/>
        </w:rPr>
      </w:pPr>
      <w:r>
        <w:rPr>
          <w:rFonts w:ascii="Palatino Linotype" w:hAnsi="Palatino Linotype"/>
          <w:sz w:val="24"/>
          <w:szCs w:val="24"/>
        </w:rPr>
        <w:t xml:space="preserve">De lo precisado anteriormente y del análisis realizado a las constancias que integran el recurso de revisión al rubro indicado, es de mencionar que no se advierte la existencia de los elementos suficientes y necesarios para demostrar fehacientemente que el Sujeto Obligado debió generar en una fecha previamente determinada el Reglamento cuya entrega se ordena en el inciso a) del resolutivo segundo de la </w:t>
      </w:r>
      <w:r>
        <w:rPr>
          <w:rFonts w:ascii="Palatino Linotype" w:hAnsi="Palatino Linotype"/>
          <w:sz w:val="24"/>
          <w:szCs w:val="24"/>
        </w:rPr>
        <w:lastRenderedPageBreak/>
        <w:t xml:space="preserve">resolución materia del presente voto, razón por la cual a consideración del suscrito en el presente asunto debió </w:t>
      </w:r>
      <w:r w:rsidR="00B75CDD">
        <w:rPr>
          <w:rFonts w:ascii="Palatino Linotype" w:hAnsi="Palatino Linotype"/>
          <w:sz w:val="24"/>
          <w:szCs w:val="24"/>
        </w:rPr>
        <w:t xml:space="preserve">precisarse que para el caso de que no se hubiese generado el </w:t>
      </w:r>
      <w:r w:rsidR="00B75CDD" w:rsidRPr="00B75CDD">
        <w:rPr>
          <w:rFonts w:ascii="Palatino Linotype" w:hAnsi="Palatino Linotype"/>
          <w:iCs/>
          <w:sz w:val="24"/>
          <w:szCs w:val="24"/>
        </w:rPr>
        <w:t>Reglamento de la Dirección General de Seguridad Pública y Movilidad del Municipio de Texcoco</w:t>
      </w:r>
      <w:r w:rsidR="00B75CDD">
        <w:rPr>
          <w:rFonts w:ascii="Palatino Linotype" w:hAnsi="Palatino Linotype"/>
          <w:iCs/>
          <w:sz w:val="24"/>
          <w:szCs w:val="24"/>
        </w:rPr>
        <w:t>, bastaría con que se informa tal circunstancia al impetrante.</w:t>
      </w:r>
    </w:p>
    <w:p w:rsidR="009539C8" w:rsidRPr="00FC6983" w:rsidRDefault="00B75CDD" w:rsidP="009539C8">
      <w:pPr>
        <w:spacing w:before="240" w:after="240" w:line="360" w:lineRule="auto"/>
        <w:jc w:val="both"/>
        <w:rPr>
          <w:rFonts w:ascii="Palatino Linotype" w:hAnsi="Palatino Linotype"/>
          <w:sz w:val="24"/>
          <w:szCs w:val="24"/>
        </w:rPr>
      </w:pPr>
      <w:r>
        <w:rPr>
          <w:rFonts w:ascii="Palatino Linotype" w:hAnsi="Palatino Linotype"/>
          <w:iCs/>
          <w:sz w:val="24"/>
          <w:szCs w:val="24"/>
        </w:rPr>
        <w:t xml:space="preserve">En mérito de lo anterior, se concluye que no debió </w:t>
      </w:r>
      <w:r w:rsidR="009D7C69">
        <w:rPr>
          <w:rFonts w:ascii="Palatino Linotype" w:hAnsi="Palatino Linotype"/>
          <w:sz w:val="24"/>
          <w:szCs w:val="24"/>
        </w:rPr>
        <w:t xml:space="preserve">dejarse la salvedad consistente en la elaboración del acuerdo de declaratoria de inexistencia, </w:t>
      </w:r>
      <w:r w:rsidR="009539C8" w:rsidRPr="00FC6983">
        <w:rPr>
          <w:rFonts w:ascii="Palatino Linotype" w:hAnsi="Palatino Linotype"/>
          <w:sz w:val="24"/>
          <w:szCs w:val="24"/>
        </w:rPr>
        <w:t xml:space="preserve">ya que el criterio de la inexistencia es claro </w:t>
      </w:r>
      <w:r w:rsidR="009539C8" w:rsidRPr="00C669F3">
        <w:rPr>
          <w:rFonts w:ascii="Palatino Linotype" w:hAnsi="Palatino Linotype"/>
          <w:sz w:val="24"/>
          <w:szCs w:val="24"/>
        </w:rPr>
        <w:t xml:space="preserve">al </w:t>
      </w:r>
      <w:r w:rsidR="009539C8" w:rsidRPr="00FC6983">
        <w:rPr>
          <w:rFonts w:ascii="Palatino Linotype" w:hAnsi="Palatino Linotype"/>
          <w:sz w:val="24"/>
          <w:szCs w:val="24"/>
        </w:rPr>
        <w:t>referir que la ausencia de la información puede ser por diversas causas; esto es, puede ser tanto una sustracción ilícita, una desaparición de la información, una destrucción física</w:t>
      </w:r>
      <w:r>
        <w:rPr>
          <w:rFonts w:ascii="Palatino Linotype" w:hAnsi="Palatino Linotype"/>
          <w:sz w:val="24"/>
          <w:szCs w:val="24"/>
        </w:rPr>
        <w:t xml:space="preserve"> o que estando obligado a generarla tal circunstancia no sucedió</w:t>
      </w:r>
      <w:r w:rsidR="009539C8" w:rsidRPr="00FC6983">
        <w:rPr>
          <w:rFonts w:ascii="Palatino Linotype" w:hAnsi="Palatino Linotype"/>
          <w:sz w:val="24"/>
          <w:szCs w:val="24"/>
        </w:rPr>
        <w:t>;</w:t>
      </w:r>
      <w:r>
        <w:rPr>
          <w:rFonts w:ascii="Palatino Linotype" w:hAnsi="Palatino Linotype"/>
          <w:sz w:val="24"/>
          <w:szCs w:val="24"/>
        </w:rPr>
        <w:t xml:space="preserve"> luego entonces es evidente que </w:t>
      </w:r>
      <w:r w:rsidR="009539C8" w:rsidRPr="00FC6983">
        <w:rPr>
          <w:rFonts w:ascii="Palatino Linotype" w:hAnsi="Palatino Linotype"/>
          <w:sz w:val="24"/>
          <w:szCs w:val="24"/>
        </w:rPr>
        <w:t>el único documento válido y formal para enunciar la inexistencia de la información, es el acuerdo</w:t>
      </w:r>
      <w:r w:rsidR="009539C8" w:rsidRPr="00C669F3">
        <w:rPr>
          <w:rFonts w:ascii="Palatino Linotype" w:hAnsi="Palatino Linotype"/>
          <w:sz w:val="24"/>
          <w:szCs w:val="24"/>
        </w:rPr>
        <w:t xml:space="preserve"> emitido por el respectivo Comité de Transparencia, </w:t>
      </w:r>
      <w:r w:rsidR="009539C8" w:rsidRPr="00FC6983">
        <w:rPr>
          <w:rFonts w:ascii="Palatino Linotype" w:hAnsi="Palatino Linotype"/>
          <w:sz w:val="24"/>
          <w:szCs w:val="24"/>
        </w:rPr>
        <w:t>por el que se confirme la declaración de inexistencia</w:t>
      </w:r>
      <w:r w:rsidR="009539C8" w:rsidRPr="00C669F3">
        <w:rPr>
          <w:rFonts w:ascii="Palatino Linotype" w:hAnsi="Palatino Linotype"/>
          <w:sz w:val="24"/>
          <w:szCs w:val="24"/>
        </w:rPr>
        <w:t xml:space="preserve">. </w:t>
      </w:r>
    </w:p>
    <w:p w:rsidR="00FD2E98" w:rsidRPr="00B51880" w:rsidRDefault="00FD2E98" w:rsidP="00FD2E98">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FD2E98" w:rsidRDefault="00FD2E98" w:rsidP="00FD2E98">
      <w:pPr>
        <w:spacing w:after="0" w:line="240" w:lineRule="auto"/>
        <w:jc w:val="center"/>
        <w:rPr>
          <w:rFonts w:ascii="Palatino Linotype" w:hAnsi="Palatino Linotype"/>
          <w:b/>
          <w:sz w:val="24"/>
          <w:szCs w:val="24"/>
        </w:rPr>
      </w:pPr>
    </w:p>
    <w:p w:rsidR="00FD2E98" w:rsidRDefault="00FD2E98" w:rsidP="00B75CDD">
      <w:pPr>
        <w:spacing w:after="0" w:line="240" w:lineRule="auto"/>
        <w:rPr>
          <w:rFonts w:ascii="Palatino Linotype" w:hAnsi="Palatino Linotype"/>
          <w:b/>
          <w:sz w:val="24"/>
          <w:szCs w:val="24"/>
        </w:rPr>
      </w:pPr>
    </w:p>
    <w:p w:rsidR="00FD2E98" w:rsidRDefault="00FD2E98" w:rsidP="00FD2E98">
      <w:pPr>
        <w:spacing w:after="0" w:line="240" w:lineRule="auto"/>
        <w:jc w:val="center"/>
        <w:rPr>
          <w:rFonts w:ascii="Palatino Linotype" w:hAnsi="Palatino Linotype"/>
          <w:b/>
          <w:sz w:val="24"/>
          <w:szCs w:val="24"/>
        </w:rPr>
      </w:pPr>
    </w:p>
    <w:p w:rsidR="00FD2E98" w:rsidRPr="00B51880" w:rsidRDefault="00FD2E98" w:rsidP="00FD2E98">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FD2E98" w:rsidRDefault="00FD2E98" w:rsidP="00FD2E98">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FD2E98" w:rsidRPr="00D318C0" w:rsidRDefault="00FD2E98" w:rsidP="00FD2E98">
      <w:pPr>
        <w:spacing w:after="0" w:line="240" w:lineRule="auto"/>
        <w:jc w:val="center"/>
        <w:rPr>
          <w:rFonts w:ascii="Palatino Linotype" w:hAnsi="Palatino Linotype"/>
          <w:sz w:val="24"/>
          <w:szCs w:val="24"/>
        </w:rPr>
      </w:pPr>
      <w:r>
        <w:rPr>
          <w:rFonts w:ascii="Palatino Linotype" w:hAnsi="Palatino Linotype"/>
          <w:sz w:val="24"/>
          <w:szCs w:val="24"/>
        </w:rPr>
        <w:t>(Rúbrica)</w:t>
      </w:r>
    </w:p>
    <w:p w:rsidR="00E4570F" w:rsidRDefault="00D15FED" w:rsidP="00FD2E98">
      <w:pPr>
        <w:spacing w:before="240" w:after="0" w:line="360" w:lineRule="auto"/>
        <w:jc w:val="both"/>
      </w:pPr>
    </w:p>
    <w:sectPr w:rsidR="00E4570F" w:rsidSect="007F0307">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ED" w:rsidRDefault="00D15FED" w:rsidP="00FD2E98">
      <w:pPr>
        <w:spacing w:after="0" w:line="240" w:lineRule="auto"/>
      </w:pPr>
      <w:r>
        <w:separator/>
      </w:r>
    </w:p>
  </w:endnote>
  <w:endnote w:type="continuationSeparator" w:id="0">
    <w:p w:rsidR="00D15FED" w:rsidRDefault="00D15FED" w:rsidP="00FD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15FED"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75CDD">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75CDD">
      <w:rPr>
        <w:rFonts w:ascii="Arial" w:hAnsi="Arial" w:cs="Arial"/>
        <w:b/>
        <w:bCs/>
        <w:noProof/>
        <w:sz w:val="20"/>
        <w:szCs w:val="20"/>
      </w:rPr>
      <w:t>10</w:t>
    </w:r>
    <w:r w:rsidRPr="00986599">
      <w:rPr>
        <w:rFonts w:ascii="Arial" w:hAnsi="Arial" w:cs="Arial"/>
        <w:b/>
        <w:bCs/>
        <w:sz w:val="20"/>
        <w:szCs w:val="20"/>
      </w:rPr>
      <w:fldChar w:fldCharType="end"/>
    </w:r>
  </w:p>
  <w:p w:rsidR="007F0307" w:rsidRDefault="00D15FED" w:rsidP="007F0307">
    <w:pPr>
      <w:pStyle w:val="Piedepgina"/>
      <w:jc w:val="right"/>
    </w:pPr>
  </w:p>
  <w:p w:rsidR="003A7B43" w:rsidRDefault="00D15FED"/>
  <w:p w:rsidR="003A7B43" w:rsidRDefault="00D15F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ED" w:rsidRDefault="00D15FED" w:rsidP="00FD2E98">
      <w:pPr>
        <w:spacing w:after="0" w:line="240" w:lineRule="auto"/>
      </w:pPr>
      <w:r>
        <w:separator/>
      </w:r>
    </w:p>
  </w:footnote>
  <w:footnote w:type="continuationSeparator" w:id="0">
    <w:p w:rsidR="00D15FED" w:rsidRDefault="00D15FED" w:rsidP="00FD2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15FED">
    <w:pPr>
      <w:pStyle w:val="Encabezado"/>
    </w:pPr>
    <w:r>
      <w:rPr>
        <w:noProof/>
        <w:lang w:val="es-MX" w:eastAsia="es-MX"/>
      </w:rPr>
      <mc:AlternateContent>
        <mc:Choice Requires="wps">
          <w:drawing>
            <wp:anchor distT="0" distB="0" distL="114300" distR="114300" simplePos="0" relativeHeight="251659264" behindDoc="1" locked="0" layoutInCell="0" allowOverlap="1" wp14:anchorId="498F4DD8" wp14:editId="19AA2B3E">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15FED"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8F4DD8"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15FED"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D15FED"/>
  <w:p w:rsidR="003A7B43" w:rsidRDefault="00D15F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15FED" w:rsidP="007F0307">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0499FD9" wp14:editId="138615C3">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D15FED" w:rsidP="007F0307">
    <w:pPr>
      <w:pStyle w:val="Encabezado"/>
      <w:jc w:val="right"/>
      <w:rPr>
        <w:rFonts w:ascii="Arial" w:hAnsi="Arial" w:cs="Arial"/>
        <w:sz w:val="20"/>
        <w:szCs w:val="20"/>
      </w:rPr>
    </w:pPr>
  </w:p>
  <w:p w:rsidR="007F0307" w:rsidRDefault="00D15FED" w:rsidP="007F0307">
    <w:pPr>
      <w:pStyle w:val="Encabezado"/>
      <w:jc w:val="right"/>
      <w:rPr>
        <w:rFonts w:ascii="Arial" w:hAnsi="Arial" w:cs="Arial"/>
        <w:sz w:val="20"/>
        <w:szCs w:val="20"/>
      </w:rPr>
    </w:pPr>
  </w:p>
  <w:p w:rsidR="007F0307" w:rsidRPr="00563D0F" w:rsidRDefault="00D15FED"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Pr>
        <w:rFonts w:ascii="Palatino Linotype" w:hAnsi="Palatino Linotype" w:cs="Arial"/>
        <w:b/>
        <w:sz w:val="20"/>
        <w:szCs w:val="20"/>
      </w:rPr>
      <w:t xml:space="preserve"> </w:t>
    </w:r>
  </w:p>
  <w:p w:rsidR="007F0307" w:rsidRPr="00B976C5" w:rsidRDefault="00D15FED"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r w:rsidR="00FD2E98">
      <w:rPr>
        <w:rFonts w:ascii="Palatino Linotype" w:hAnsi="Palatino Linotype" w:cs="Arial"/>
        <w:b/>
        <w:sz w:val="20"/>
        <w:szCs w:val="20"/>
      </w:rPr>
      <w:t>:</w:t>
    </w:r>
    <w:r w:rsidRPr="006B0547">
      <w:rPr>
        <w:rFonts w:ascii="Palatino Linotype" w:hAnsi="Palatino Linotype" w:cs="Arial"/>
        <w:b/>
        <w:sz w:val="20"/>
        <w:szCs w:val="20"/>
      </w:rPr>
      <w:t xml:space="preserve"> </w:t>
    </w:r>
    <w:r>
      <w:rPr>
        <w:rFonts w:ascii="Palatino Linotype" w:hAnsi="Palatino Linotype"/>
        <w:b/>
        <w:sz w:val="22"/>
        <w:szCs w:val="22"/>
        <w:lang w:val="es-ES_tradnl"/>
      </w:rPr>
      <w:t>0</w:t>
    </w:r>
    <w:r w:rsidR="00FD2E98">
      <w:rPr>
        <w:rFonts w:ascii="Palatino Linotype" w:hAnsi="Palatino Linotype"/>
        <w:b/>
        <w:sz w:val="22"/>
        <w:szCs w:val="22"/>
        <w:lang w:val="es-ES_tradnl"/>
      </w:rPr>
      <w:t>2937/INFOEM/IP/RR/2019</w:t>
    </w:r>
    <w:r>
      <w:rPr>
        <w:rFonts w:ascii="Palatino Linotype" w:hAnsi="Palatino Linotype"/>
        <w:b/>
        <w:sz w:val="22"/>
        <w:szCs w:val="22"/>
        <w:lang w:val="es-ES_tradnl"/>
      </w:rPr>
      <w:t>.</w:t>
    </w:r>
  </w:p>
  <w:p w:rsidR="007F0307" w:rsidRDefault="00D15FED" w:rsidP="007F0307">
    <w:pPr>
      <w:pStyle w:val="Encabezado"/>
      <w:jc w:val="right"/>
      <w:rPr>
        <w:rFonts w:ascii="Palatino Linotype" w:hAnsi="Palatino Linotype" w:cs="Arial"/>
        <w:sz w:val="20"/>
        <w:szCs w:val="20"/>
      </w:rPr>
    </w:pPr>
  </w:p>
  <w:p w:rsidR="00D40FD0" w:rsidRDefault="00D15FED"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53F1019C"/>
    <w:multiLevelType w:val="hybridMultilevel"/>
    <w:tmpl w:val="D376D56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98"/>
    <w:rsid w:val="00500D1E"/>
    <w:rsid w:val="005875CE"/>
    <w:rsid w:val="0071064B"/>
    <w:rsid w:val="009539C8"/>
    <w:rsid w:val="009D7C69"/>
    <w:rsid w:val="00A51902"/>
    <w:rsid w:val="00B75CDD"/>
    <w:rsid w:val="00BE4381"/>
    <w:rsid w:val="00D15FED"/>
    <w:rsid w:val="00D52C3F"/>
    <w:rsid w:val="00FD2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42601-9E6D-408F-9968-6E9F2691C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E9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E9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D2E9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2E9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D2E9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D2E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D2E9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D2E98"/>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D2E98"/>
    <w:rPr>
      <w:vertAlign w:val="superscript"/>
    </w:rPr>
  </w:style>
  <w:style w:type="table" w:styleId="Tablaconcuadrcula">
    <w:name w:val="Table Grid"/>
    <w:basedOn w:val="Tablanormal"/>
    <w:uiPriority w:val="59"/>
    <w:rsid w:val="00FD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00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2593</Words>
  <Characters>14263</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2019-06-28T16:03:00Z</dcterms:created>
  <dcterms:modified xsi:type="dcterms:W3CDTF">2019-06-28T17:19:00Z</dcterms:modified>
</cp:coreProperties>
</file>